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4E3183C4"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r w:rsidR="00052808" w:rsidRPr="00052808">
        <w:rPr>
          <w:b/>
          <w:color w:val="000000"/>
        </w:rPr>
        <w:t xml:space="preserve">Реагенти до  біохімічного аналізатору </w:t>
      </w:r>
      <w:proofErr w:type="spellStart"/>
      <w:r w:rsidR="00052808" w:rsidRPr="00052808">
        <w:rPr>
          <w:b/>
          <w:color w:val="000000"/>
        </w:rPr>
        <w:t>Cobas</w:t>
      </w:r>
      <w:proofErr w:type="spellEnd"/>
      <w:r w:rsidR="00052808" w:rsidRPr="00052808">
        <w:rPr>
          <w:b/>
          <w:color w:val="000000"/>
        </w:rPr>
        <w:t xml:space="preserve"> 6000, </w:t>
      </w:r>
      <w:proofErr w:type="spellStart"/>
      <w:r w:rsidR="00052808" w:rsidRPr="00052808">
        <w:rPr>
          <w:b/>
          <w:color w:val="000000"/>
        </w:rPr>
        <w:t>Cobas</w:t>
      </w:r>
      <w:proofErr w:type="spellEnd"/>
      <w:r w:rsidR="00052808" w:rsidRPr="00052808">
        <w:rPr>
          <w:b/>
          <w:color w:val="000000"/>
        </w:rPr>
        <w:t xml:space="preserve"> с311 для Українського </w:t>
      </w:r>
      <w:proofErr w:type="spellStart"/>
      <w:r w:rsidR="00052808" w:rsidRPr="00052808">
        <w:rPr>
          <w:b/>
          <w:color w:val="000000"/>
        </w:rPr>
        <w:t>Референс</w:t>
      </w:r>
      <w:proofErr w:type="spellEnd"/>
      <w:r w:rsidR="00052808" w:rsidRPr="00052808">
        <w:rPr>
          <w:b/>
          <w:color w:val="000000"/>
        </w:rPr>
        <w:t xml:space="preserve">-центру з клінічної лабораторної діагностики та метрології: 1. Тест для кількісного імунологічного визначення </w:t>
      </w:r>
      <w:proofErr w:type="spellStart"/>
      <w:r w:rsidR="00052808" w:rsidRPr="00052808">
        <w:rPr>
          <w:b/>
          <w:color w:val="000000"/>
        </w:rPr>
        <w:t>антистрептолізину</w:t>
      </w:r>
      <w:proofErr w:type="spellEnd"/>
      <w:r w:rsidR="00052808" w:rsidRPr="00052808">
        <w:rPr>
          <w:b/>
          <w:color w:val="000000"/>
        </w:rPr>
        <w:t xml:space="preserve">-О (ASLOT), 150 тестів, для </w:t>
      </w:r>
      <w:proofErr w:type="spellStart"/>
      <w:r w:rsidR="00052808" w:rsidRPr="00052808">
        <w:rPr>
          <w:b/>
          <w:color w:val="000000"/>
        </w:rPr>
        <w:t>cobas</w:t>
      </w:r>
      <w:proofErr w:type="spellEnd"/>
      <w:r w:rsidR="00052808" w:rsidRPr="00052808">
        <w:rPr>
          <w:b/>
          <w:color w:val="000000"/>
        </w:rPr>
        <w:t xml:space="preserve"> c 311/501/502; 2. Стандарт Залізо (</w:t>
      </w:r>
      <w:proofErr w:type="spellStart"/>
      <w:r w:rsidR="00052808" w:rsidRPr="00052808">
        <w:rPr>
          <w:b/>
          <w:color w:val="000000"/>
        </w:rPr>
        <w:t>Fe</w:t>
      </w:r>
      <w:proofErr w:type="spellEnd"/>
      <w:r w:rsidR="00052808" w:rsidRPr="00052808">
        <w:rPr>
          <w:b/>
          <w:color w:val="000000"/>
        </w:rPr>
        <w:t xml:space="preserve">), для калібрування кількісних тестів для визначення ненасиченої </w:t>
      </w:r>
      <w:proofErr w:type="spellStart"/>
      <w:r w:rsidR="00052808" w:rsidRPr="00052808">
        <w:rPr>
          <w:b/>
          <w:color w:val="000000"/>
        </w:rPr>
        <w:t>залізозв’язуючої</w:t>
      </w:r>
      <w:proofErr w:type="spellEnd"/>
      <w:r w:rsidR="00052808" w:rsidRPr="00052808">
        <w:rPr>
          <w:b/>
          <w:color w:val="000000"/>
        </w:rPr>
        <w:t xml:space="preserve"> здатності сироватки крові, 1 × 75 мл (</w:t>
      </w:r>
      <w:proofErr w:type="spellStart"/>
      <w:r w:rsidR="00052808" w:rsidRPr="00052808">
        <w:rPr>
          <w:b/>
          <w:color w:val="000000"/>
        </w:rPr>
        <w:t>mL</w:t>
      </w:r>
      <w:proofErr w:type="spellEnd"/>
      <w:r w:rsidR="00052808" w:rsidRPr="00052808">
        <w:rPr>
          <w:b/>
          <w:color w:val="000000"/>
        </w:rPr>
        <w:t xml:space="preserve">), для COBAS INTEGRA 400 </w:t>
      </w:r>
      <w:proofErr w:type="spellStart"/>
      <w:r w:rsidR="00052808" w:rsidRPr="00052808">
        <w:rPr>
          <w:b/>
          <w:color w:val="000000"/>
        </w:rPr>
        <w:t>Plus</w:t>
      </w:r>
      <w:proofErr w:type="spellEnd"/>
      <w:r w:rsidR="00052808" w:rsidRPr="00052808">
        <w:rPr>
          <w:b/>
          <w:color w:val="000000"/>
        </w:rPr>
        <w:t xml:space="preserve">, </w:t>
      </w:r>
      <w:proofErr w:type="spellStart"/>
      <w:r w:rsidR="00052808" w:rsidRPr="00052808">
        <w:rPr>
          <w:b/>
          <w:color w:val="000000"/>
        </w:rPr>
        <w:t>cobas</w:t>
      </w:r>
      <w:proofErr w:type="spellEnd"/>
      <w:r w:rsidR="00052808" w:rsidRPr="00052808">
        <w:rPr>
          <w:b/>
          <w:color w:val="000000"/>
        </w:rPr>
        <w:t xml:space="preserve"> c; 3. </w:t>
      </w:r>
      <w:proofErr w:type="spellStart"/>
      <w:r w:rsidR="00052808" w:rsidRPr="00052808">
        <w:rPr>
          <w:b/>
          <w:color w:val="000000"/>
        </w:rPr>
        <w:t>Калібратор</w:t>
      </w:r>
      <w:proofErr w:type="spellEnd"/>
      <w:r w:rsidR="00052808" w:rsidRPr="00052808">
        <w:rPr>
          <w:b/>
          <w:color w:val="000000"/>
        </w:rPr>
        <w:t xml:space="preserve"> для автоматизованих систем </w:t>
      </w:r>
      <w:proofErr w:type="spellStart"/>
      <w:r w:rsidR="00052808" w:rsidRPr="00052808">
        <w:rPr>
          <w:b/>
          <w:color w:val="000000"/>
        </w:rPr>
        <w:t>Цистатин</w:t>
      </w:r>
      <w:proofErr w:type="spellEnd"/>
      <w:r w:rsidR="00052808" w:rsidRPr="00052808">
        <w:rPr>
          <w:b/>
          <w:color w:val="000000"/>
        </w:rPr>
        <w:t xml:space="preserve"> С, 4 × 1 мл (</w:t>
      </w:r>
      <w:proofErr w:type="spellStart"/>
      <w:r w:rsidR="00052808" w:rsidRPr="00052808">
        <w:rPr>
          <w:b/>
          <w:color w:val="000000"/>
        </w:rPr>
        <w:t>mL</w:t>
      </w:r>
      <w:proofErr w:type="spellEnd"/>
      <w:r w:rsidR="00052808" w:rsidRPr="00052808">
        <w:rPr>
          <w:b/>
          <w:color w:val="000000"/>
        </w:rPr>
        <w:t xml:space="preserve">), для COBAS INTEGRA 400 </w:t>
      </w:r>
      <w:proofErr w:type="spellStart"/>
      <w:r w:rsidR="00052808" w:rsidRPr="00052808">
        <w:rPr>
          <w:b/>
          <w:color w:val="000000"/>
        </w:rPr>
        <w:t>Plus</w:t>
      </w:r>
      <w:proofErr w:type="spellEnd"/>
      <w:r w:rsidR="00052808" w:rsidRPr="00052808">
        <w:rPr>
          <w:b/>
          <w:color w:val="000000"/>
        </w:rPr>
        <w:t xml:space="preserve">, </w:t>
      </w:r>
      <w:proofErr w:type="spellStart"/>
      <w:r w:rsidR="00052808" w:rsidRPr="00052808">
        <w:rPr>
          <w:b/>
          <w:color w:val="000000"/>
        </w:rPr>
        <w:t>cobas</w:t>
      </w:r>
      <w:proofErr w:type="spellEnd"/>
      <w:r w:rsidR="00052808" w:rsidRPr="00052808">
        <w:rPr>
          <w:b/>
          <w:color w:val="000000"/>
        </w:rPr>
        <w:t xml:space="preserve"> c; 4. Набір контролів для тестів для кількісного визначення </w:t>
      </w:r>
      <w:proofErr w:type="spellStart"/>
      <w:r w:rsidR="00052808" w:rsidRPr="00052808">
        <w:rPr>
          <w:b/>
          <w:color w:val="000000"/>
        </w:rPr>
        <w:t>цистатину</w:t>
      </w:r>
      <w:proofErr w:type="spellEnd"/>
      <w:r w:rsidR="00052808" w:rsidRPr="00052808">
        <w:rPr>
          <w:b/>
          <w:color w:val="000000"/>
        </w:rPr>
        <w:t xml:space="preserve"> С, Ген.2, 3 × 3 × 1 мл (</w:t>
      </w:r>
      <w:proofErr w:type="spellStart"/>
      <w:r w:rsidR="00052808" w:rsidRPr="00052808">
        <w:rPr>
          <w:b/>
          <w:color w:val="000000"/>
        </w:rPr>
        <w:t>mL</w:t>
      </w:r>
      <w:proofErr w:type="spellEnd"/>
      <w:r w:rsidR="00052808" w:rsidRPr="00052808">
        <w:rPr>
          <w:b/>
          <w:color w:val="000000"/>
        </w:rPr>
        <w:t>); 5. Активатор, 9 × 12 мл (</w:t>
      </w:r>
      <w:proofErr w:type="spellStart"/>
      <w:r w:rsidR="00052808" w:rsidRPr="00052808">
        <w:rPr>
          <w:b/>
          <w:color w:val="000000"/>
        </w:rPr>
        <w:t>mL</w:t>
      </w:r>
      <w:proofErr w:type="spellEnd"/>
      <w:r w:rsidR="00052808" w:rsidRPr="00052808">
        <w:rPr>
          <w:b/>
          <w:color w:val="000000"/>
        </w:rPr>
        <w:t xml:space="preserve">), для COBAS INTEGRA 400 </w:t>
      </w:r>
      <w:proofErr w:type="spellStart"/>
      <w:r w:rsidR="00052808" w:rsidRPr="00052808">
        <w:rPr>
          <w:b/>
          <w:color w:val="000000"/>
        </w:rPr>
        <w:t>Plus</w:t>
      </w:r>
      <w:proofErr w:type="spellEnd"/>
      <w:r w:rsidR="00052808" w:rsidRPr="00052808">
        <w:rPr>
          <w:b/>
          <w:color w:val="000000"/>
        </w:rPr>
        <w:t xml:space="preserve">, </w:t>
      </w:r>
      <w:proofErr w:type="spellStart"/>
      <w:r w:rsidR="00052808" w:rsidRPr="00052808">
        <w:rPr>
          <w:b/>
          <w:color w:val="000000"/>
        </w:rPr>
        <w:t>cobas</w:t>
      </w:r>
      <w:proofErr w:type="spellEnd"/>
      <w:r w:rsidR="00052808" w:rsidRPr="00052808">
        <w:rPr>
          <w:b/>
          <w:color w:val="000000"/>
        </w:rPr>
        <w:t xml:space="preserve"> c 111/311/501, </w:t>
      </w:r>
      <w:proofErr w:type="spellStart"/>
      <w:r w:rsidR="00052808" w:rsidRPr="00052808">
        <w:rPr>
          <w:b/>
          <w:color w:val="000000"/>
        </w:rPr>
        <w:t>cobas</w:t>
      </w:r>
      <w:proofErr w:type="spellEnd"/>
      <w:r w:rsidR="00052808" w:rsidRPr="00052808">
        <w:rPr>
          <w:b/>
          <w:color w:val="000000"/>
        </w:rPr>
        <w:t xml:space="preserve"> </w:t>
      </w:r>
      <w:proofErr w:type="spellStart"/>
      <w:r w:rsidR="00052808" w:rsidRPr="00052808">
        <w:rPr>
          <w:b/>
          <w:color w:val="000000"/>
        </w:rPr>
        <w:t>pro</w:t>
      </w:r>
      <w:proofErr w:type="spellEnd"/>
      <w:r w:rsidR="00052808" w:rsidRPr="00052808">
        <w:rPr>
          <w:b/>
          <w:color w:val="000000"/>
        </w:rPr>
        <w:t xml:space="preserve">, </w:t>
      </w:r>
      <w:proofErr w:type="spellStart"/>
      <w:r w:rsidR="00052808" w:rsidRPr="00052808">
        <w:rPr>
          <w:b/>
          <w:color w:val="000000"/>
        </w:rPr>
        <w:t>cobas</w:t>
      </w:r>
      <w:proofErr w:type="spellEnd"/>
      <w:r w:rsidR="00052808" w:rsidRPr="00052808">
        <w:rPr>
          <w:b/>
          <w:color w:val="000000"/>
        </w:rPr>
        <w:t xml:space="preserve"> 8000, </w:t>
      </w:r>
      <w:proofErr w:type="spellStart"/>
      <w:r w:rsidR="00052808" w:rsidRPr="00052808">
        <w:rPr>
          <w:b/>
          <w:color w:val="000000"/>
        </w:rPr>
        <w:t>cobas</w:t>
      </w:r>
      <w:proofErr w:type="spellEnd"/>
      <w:r w:rsidR="00052808" w:rsidRPr="00052808">
        <w:rPr>
          <w:b/>
          <w:color w:val="000000"/>
        </w:rPr>
        <w:t xml:space="preserve"> </w:t>
      </w:r>
      <w:proofErr w:type="spellStart"/>
      <w:r w:rsidR="00052808" w:rsidRPr="00052808">
        <w:rPr>
          <w:b/>
          <w:color w:val="000000"/>
        </w:rPr>
        <w:t>pure</w:t>
      </w:r>
      <w:proofErr w:type="spellEnd"/>
      <w:r w:rsidR="00052808" w:rsidRPr="00052808">
        <w:rPr>
          <w:b/>
          <w:color w:val="000000"/>
        </w:rPr>
        <w:t xml:space="preserve">; 6. </w:t>
      </w:r>
      <w:proofErr w:type="spellStart"/>
      <w:r w:rsidR="00052808" w:rsidRPr="00052808">
        <w:rPr>
          <w:b/>
          <w:color w:val="000000"/>
        </w:rPr>
        <w:t>Імуноаналіз</w:t>
      </w:r>
      <w:proofErr w:type="spellEnd"/>
      <w:r w:rsidR="00052808" w:rsidRPr="00052808">
        <w:rPr>
          <w:b/>
          <w:color w:val="000000"/>
        </w:rPr>
        <w:t xml:space="preserve"> </w:t>
      </w:r>
      <w:proofErr w:type="spellStart"/>
      <w:r w:rsidR="00052808" w:rsidRPr="00052808">
        <w:rPr>
          <w:b/>
          <w:color w:val="000000"/>
        </w:rPr>
        <w:t>Elecsys</w:t>
      </w:r>
      <w:proofErr w:type="spellEnd"/>
      <w:r w:rsidR="00052808" w:rsidRPr="00052808">
        <w:rPr>
          <w:b/>
          <w:color w:val="000000"/>
        </w:rPr>
        <w:t xml:space="preserve"> для кількісного визначення загального N-термінального </w:t>
      </w:r>
      <w:proofErr w:type="spellStart"/>
      <w:r w:rsidR="00052808" w:rsidRPr="00052808">
        <w:rPr>
          <w:b/>
          <w:color w:val="000000"/>
        </w:rPr>
        <w:t>пропептиду</w:t>
      </w:r>
      <w:proofErr w:type="spellEnd"/>
      <w:r w:rsidR="00052808" w:rsidRPr="00052808">
        <w:rPr>
          <w:b/>
          <w:color w:val="000000"/>
        </w:rPr>
        <w:t xml:space="preserve"> </w:t>
      </w:r>
      <w:proofErr w:type="spellStart"/>
      <w:r w:rsidR="00052808" w:rsidRPr="00052808">
        <w:rPr>
          <w:b/>
          <w:color w:val="000000"/>
        </w:rPr>
        <w:t>проколагену</w:t>
      </w:r>
      <w:proofErr w:type="spellEnd"/>
      <w:r w:rsidR="00052808" w:rsidRPr="00052808">
        <w:rPr>
          <w:b/>
          <w:color w:val="000000"/>
        </w:rPr>
        <w:t xml:space="preserve"> 1 типу (P1NP), 100 тестів, для </w:t>
      </w:r>
      <w:proofErr w:type="spellStart"/>
      <w:r w:rsidR="00052808" w:rsidRPr="00052808">
        <w:rPr>
          <w:b/>
          <w:color w:val="000000"/>
        </w:rPr>
        <w:t>cobas</w:t>
      </w:r>
      <w:proofErr w:type="spellEnd"/>
      <w:r w:rsidR="00052808" w:rsidRPr="00052808">
        <w:rPr>
          <w:b/>
          <w:color w:val="000000"/>
        </w:rPr>
        <w:t xml:space="preserve"> e 411/601/602; 7. Набір для калібрування тесту для кількісного визначення загального N-термінального </w:t>
      </w:r>
      <w:proofErr w:type="spellStart"/>
      <w:r w:rsidR="00052808" w:rsidRPr="00052808">
        <w:rPr>
          <w:b/>
          <w:color w:val="000000"/>
        </w:rPr>
        <w:t>пропептиду</w:t>
      </w:r>
      <w:proofErr w:type="spellEnd"/>
      <w:r w:rsidR="00052808" w:rsidRPr="00052808">
        <w:rPr>
          <w:b/>
          <w:color w:val="000000"/>
        </w:rPr>
        <w:t xml:space="preserve"> </w:t>
      </w:r>
      <w:proofErr w:type="spellStart"/>
      <w:r w:rsidR="00052808" w:rsidRPr="00052808">
        <w:rPr>
          <w:b/>
          <w:color w:val="000000"/>
        </w:rPr>
        <w:t>проколагену</w:t>
      </w:r>
      <w:proofErr w:type="spellEnd"/>
      <w:r w:rsidR="00052808" w:rsidRPr="00052808">
        <w:rPr>
          <w:b/>
          <w:color w:val="000000"/>
        </w:rPr>
        <w:t xml:space="preserve"> 1 типу (P1NP), 2 × 2 × 1 мл (</w:t>
      </w:r>
      <w:proofErr w:type="spellStart"/>
      <w:r w:rsidR="00052808" w:rsidRPr="00052808">
        <w:rPr>
          <w:b/>
          <w:color w:val="000000"/>
        </w:rPr>
        <w:t>mL</w:t>
      </w:r>
      <w:proofErr w:type="spellEnd"/>
      <w:r w:rsidR="00052808" w:rsidRPr="00052808">
        <w:rPr>
          <w:b/>
          <w:color w:val="000000"/>
        </w:rPr>
        <w:t xml:space="preserve">), для </w:t>
      </w:r>
      <w:proofErr w:type="spellStart"/>
      <w:r w:rsidR="00052808" w:rsidRPr="00052808">
        <w:rPr>
          <w:b/>
          <w:color w:val="000000"/>
        </w:rPr>
        <w:t>cobas</w:t>
      </w:r>
      <w:proofErr w:type="spellEnd"/>
      <w:r w:rsidR="00052808" w:rsidRPr="00052808">
        <w:rPr>
          <w:b/>
          <w:color w:val="000000"/>
        </w:rPr>
        <w:t xml:space="preserve"> e; 8. Контроль </w:t>
      </w:r>
      <w:proofErr w:type="spellStart"/>
      <w:r w:rsidR="00052808" w:rsidRPr="00052808">
        <w:rPr>
          <w:b/>
          <w:color w:val="000000"/>
        </w:rPr>
        <w:t>PreciControl</w:t>
      </w:r>
      <w:proofErr w:type="spellEnd"/>
      <w:r w:rsidR="00052808" w:rsidRPr="00052808">
        <w:rPr>
          <w:b/>
          <w:color w:val="000000"/>
        </w:rPr>
        <w:t xml:space="preserve"> </w:t>
      </w:r>
      <w:proofErr w:type="spellStart"/>
      <w:r w:rsidR="00052808" w:rsidRPr="00052808">
        <w:rPr>
          <w:b/>
          <w:color w:val="000000"/>
        </w:rPr>
        <w:t>Варіа</w:t>
      </w:r>
      <w:proofErr w:type="spellEnd"/>
      <w:r w:rsidR="00052808" w:rsidRPr="00052808">
        <w:rPr>
          <w:b/>
          <w:color w:val="000000"/>
        </w:rPr>
        <w:t xml:space="preserve"> (</w:t>
      </w:r>
      <w:proofErr w:type="spellStart"/>
      <w:r w:rsidR="00052808" w:rsidRPr="00052808">
        <w:rPr>
          <w:b/>
          <w:color w:val="000000"/>
        </w:rPr>
        <w:t>Varia</w:t>
      </w:r>
      <w:proofErr w:type="spellEnd"/>
      <w:r w:rsidR="00052808" w:rsidRPr="00052808">
        <w:rPr>
          <w:b/>
          <w:color w:val="000000"/>
        </w:rPr>
        <w:t>), 2 × 2 × 3 мл (</w:t>
      </w:r>
      <w:proofErr w:type="spellStart"/>
      <w:r w:rsidR="00052808" w:rsidRPr="00052808">
        <w:rPr>
          <w:b/>
          <w:color w:val="000000"/>
        </w:rPr>
        <w:t>mL</w:t>
      </w:r>
      <w:proofErr w:type="spellEnd"/>
      <w:r w:rsidR="00052808" w:rsidRPr="00052808">
        <w:rPr>
          <w:b/>
          <w:color w:val="000000"/>
        </w:rPr>
        <w:t xml:space="preserve">), для </w:t>
      </w:r>
      <w:proofErr w:type="spellStart"/>
      <w:r w:rsidR="00052808" w:rsidRPr="00052808">
        <w:rPr>
          <w:b/>
          <w:color w:val="000000"/>
        </w:rPr>
        <w:t>cobas</w:t>
      </w:r>
      <w:proofErr w:type="spellEnd"/>
      <w:r w:rsidR="00052808" w:rsidRPr="00052808">
        <w:rPr>
          <w:b/>
          <w:color w:val="000000"/>
        </w:rPr>
        <w:t xml:space="preserve"> e; 9. </w:t>
      </w:r>
      <w:proofErr w:type="spellStart"/>
      <w:r w:rsidR="00052808" w:rsidRPr="00052808">
        <w:rPr>
          <w:b/>
          <w:color w:val="000000"/>
        </w:rPr>
        <w:t>Імуноаналіз</w:t>
      </w:r>
      <w:proofErr w:type="spellEnd"/>
      <w:r w:rsidR="00052808" w:rsidRPr="00052808">
        <w:rPr>
          <w:b/>
          <w:color w:val="000000"/>
        </w:rPr>
        <w:t xml:space="preserve"> </w:t>
      </w:r>
      <w:proofErr w:type="spellStart"/>
      <w:r w:rsidR="00052808" w:rsidRPr="00052808">
        <w:rPr>
          <w:b/>
          <w:color w:val="000000"/>
        </w:rPr>
        <w:t>Elecsys</w:t>
      </w:r>
      <w:proofErr w:type="spellEnd"/>
      <w:r w:rsidR="00052808" w:rsidRPr="00052808">
        <w:rPr>
          <w:b/>
          <w:color w:val="000000"/>
        </w:rPr>
        <w:t xml:space="preserve"> для кількісного визначення загального 25-гідроксивітаміну D ІІІ, 100 тестів, для </w:t>
      </w:r>
      <w:proofErr w:type="spellStart"/>
      <w:r w:rsidR="00052808" w:rsidRPr="00052808">
        <w:rPr>
          <w:b/>
          <w:color w:val="000000"/>
        </w:rPr>
        <w:t>cobas</w:t>
      </w:r>
      <w:proofErr w:type="spellEnd"/>
      <w:r w:rsidR="00052808" w:rsidRPr="00052808">
        <w:rPr>
          <w:b/>
          <w:color w:val="000000"/>
        </w:rPr>
        <w:t xml:space="preserve"> e 411/601/602; 10. Набір для калібрування тесту для кількісного визначення загального 25-гідроксивітаміну D ІІІ, 2 × 2 × 1 мл (</w:t>
      </w:r>
      <w:proofErr w:type="spellStart"/>
      <w:r w:rsidR="00052808" w:rsidRPr="00052808">
        <w:rPr>
          <w:b/>
          <w:color w:val="000000"/>
        </w:rPr>
        <w:t>mL</w:t>
      </w:r>
      <w:proofErr w:type="spellEnd"/>
      <w:r w:rsidR="00052808" w:rsidRPr="00052808">
        <w:rPr>
          <w:b/>
          <w:color w:val="000000"/>
        </w:rPr>
        <w:t xml:space="preserve">), для </w:t>
      </w:r>
      <w:proofErr w:type="spellStart"/>
      <w:r w:rsidR="00052808" w:rsidRPr="00052808">
        <w:rPr>
          <w:b/>
          <w:color w:val="000000"/>
        </w:rPr>
        <w:t>cobas</w:t>
      </w:r>
      <w:proofErr w:type="spellEnd"/>
      <w:r w:rsidR="00052808" w:rsidRPr="00052808">
        <w:rPr>
          <w:b/>
          <w:color w:val="000000"/>
        </w:rPr>
        <w:t xml:space="preserve"> e; або еквівалент - код ДК 021:2015 – 33690000-3 лікарські засоби різні.</w:t>
      </w:r>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342"/>
        <w:gridCol w:w="760"/>
        <w:gridCol w:w="709"/>
        <w:gridCol w:w="1676"/>
        <w:gridCol w:w="4047"/>
      </w:tblGrid>
      <w:tr w:rsidR="002C0EF4" w:rsidRPr="00D658D4" w14:paraId="268A28A3" w14:textId="77777777" w:rsidTr="00221664">
        <w:trPr>
          <w:trHeight w:val="1665"/>
        </w:trPr>
        <w:tc>
          <w:tcPr>
            <w:tcW w:w="468" w:type="dxa"/>
            <w:shd w:val="clear" w:color="FFFFCC" w:fill="FFFFFF"/>
            <w:noWrap/>
            <w:vAlign w:val="center"/>
            <w:hideMark/>
          </w:tcPr>
          <w:p w14:paraId="064D7201" w14:textId="77777777" w:rsidR="00122D50" w:rsidRDefault="00122D50" w:rsidP="00503469">
            <w:pPr>
              <w:jc w:val="center"/>
              <w:rPr>
                <w:b/>
                <w:bCs/>
                <w:sz w:val="20"/>
                <w:szCs w:val="20"/>
              </w:rPr>
            </w:pPr>
            <w:bookmarkStart w:id="0"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0"/>
          </w:p>
        </w:tc>
        <w:tc>
          <w:tcPr>
            <w:tcW w:w="3342"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760"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709"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4047"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052808" w14:paraId="1C4677FA" w14:textId="77777777" w:rsidTr="00C90D7B">
        <w:trPr>
          <w:trHeight w:val="930"/>
        </w:trPr>
        <w:tc>
          <w:tcPr>
            <w:tcW w:w="468" w:type="dxa"/>
            <w:shd w:val="clear" w:color="auto" w:fill="auto"/>
          </w:tcPr>
          <w:p w14:paraId="2D9FF2A9" w14:textId="2EB3EBBA" w:rsidR="00052808" w:rsidRDefault="00052808" w:rsidP="00052808">
            <w:pPr>
              <w:jc w:val="center"/>
              <w:rPr>
                <w:sz w:val="22"/>
                <w:szCs w:val="22"/>
              </w:rPr>
            </w:pPr>
            <w:r w:rsidRPr="00DB1C81">
              <w:t>1</w:t>
            </w:r>
          </w:p>
        </w:tc>
        <w:tc>
          <w:tcPr>
            <w:tcW w:w="3342" w:type="dxa"/>
            <w:shd w:val="clear" w:color="auto" w:fill="auto"/>
            <w:vAlign w:val="center"/>
            <w:hideMark/>
          </w:tcPr>
          <w:p w14:paraId="6C2D131C" w14:textId="202CE52C" w:rsidR="00052808" w:rsidRPr="00067397" w:rsidRDefault="00052808" w:rsidP="00052808">
            <w:r>
              <w:rPr>
                <w:sz w:val="22"/>
                <w:szCs w:val="22"/>
              </w:rPr>
              <w:t xml:space="preserve">Тест для кількісного імунологічного визначення </w:t>
            </w:r>
            <w:proofErr w:type="spellStart"/>
            <w:r>
              <w:rPr>
                <w:sz w:val="22"/>
                <w:szCs w:val="22"/>
              </w:rPr>
              <w:t>антистрептолізину</w:t>
            </w:r>
            <w:proofErr w:type="spellEnd"/>
            <w:r>
              <w:rPr>
                <w:sz w:val="22"/>
                <w:szCs w:val="22"/>
              </w:rPr>
              <w:t xml:space="preserve">-О (ASLOT), 150 тестів, для </w:t>
            </w:r>
            <w:proofErr w:type="spellStart"/>
            <w:r>
              <w:rPr>
                <w:sz w:val="22"/>
                <w:szCs w:val="22"/>
              </w:rPr>
              <w:t>cobas</w:t>
            </w:r>
            <w:proofErr w:type="spellEnd"/>
            <w:r>
              <w:rPr>
                <w:sz w:val="22"/>
                <w:szCs w:val="22"/>
              </w:rPr>
              <w:t xml:space="preserve"> c 311/501/502</w:t>
            </w:r>
          </w:p>
        </w:tc>
        <w:tc>
          <w:tcPr>
            <w:tcW w:w="760" w:type="dxa"/>
            <w:shd w:val="clear" w:color="auto" w:fill="auto"/>
            <w:noWrap/>
            <w:vAlign w:val="center"/>
            <w:hideMark/>
          </w:tcPr>
          <w:p w14:paraId="18431196" w14:textId="166D54AC" w:rsidR="00052808" w:rsidRPr="005E71B3" w:rsidRDefault="00052808" w:rsidP="00052808">
            <w:pPr>
              <w:jc w:val="center"/>
            </w:pPr>
            <w:proofErr w:type="spellStart"/>
            <w:r>
              <w:rPr>
                <w:sz w:val="22"/>
                <w:szCs w:val="22"/>
              </w:rPr>
              <w:t>шт</w:t>
            </w:r>
            <w:proofErr w:type="spellEnd"/>
          </w:p>
        </w:tc>
        <w:tc>
          <w:tcPr>
            <w:tcW w:w="709" w:type="dxa"/>
            <w:shd w:val="clear" w:color="auto" w:fill="auto"/>
            <w:noWrap/>
            <w:vAlign w:val="center"/>
            <w:hideMark/>
          </w:tcPr>
          <w:p w14:paraId="60065712" w14:textId="305AF13E" w:rsidR="00052808" w:rsidRPr="005E71B3" w:rsidRDefault="00052808" w:rsidP="00052808">
            <w:pPr>
              <w:jc w:val="center"/>
            </w:pPr>
            <w:r>
              <w:rPr>
                <w:sz w:val="22"/>
                <w:szCs w:val="22"/>
              </w:rPr>
              <w:t>8</w:t>
            </w:r>
          </w:p>
        </w:tc>
        <w:tc>
          <w:tcPr>
            <w:tcW w:w="1676" w:type="dxa"/>
            <w:shd w:val="clear" w:color="auto" w:fill="auto"/>
            <w:hideMark/>
          </w:tcPr>
          <w:p w14:paraId="6E47347D" w14:textId="5305CBA2" w:rsidR="00052808" w:rsidRDefault="00052808" w:rsidP="00052808">
            <w:pPr>
              <w:rPr>
                <w:sz w:val="20"/>
                <w:szCs w:val="20"/>
              </w:rPr>
            </w:pPr>
            <w:r w:rsidRPr="00F84350">
              <w:t>33690000-3 Лікарські засоби різні</w:t>
            </w:r>
          </w:p>
        </w:tc>
        <w:tc>
          <w:tcPr>
            <w:tcW w:w="4047" w:type="dxa"/>
            <w:shd w:val="clear" w:color="auto" w:fill="auto"/>
            <w:vAlign w:val="center"/>
            <w:hideMark/>
          </w:tcPr>
          <w:p w14:paraId="3CB58F47" w14:textId="6D58A22E" w:rsidR="00052808" w:rsidRPr="00A469E7" w:rsidRDefault="00052808" w:rsidP="00052808">
            <w:r>
              <w:rPr>
                <w:sz w:val="22"/>
                <w:szCs w:val="22"/>
              </w:rPr>
              <w:t xml:space="preserve">59055 Комплект для ідентифікації антитіл до </w:t>
            </w:r>
            <w:proofErr w:type="spellStart"/>
            <w:r>
              <w:rPr>
                <w:sz w:val="22"/>
                <w:szCs w:val="22"/>
              </w:rPr>
              <w:t>антистрептолізин</w:t>
            </w:r>
            <w:proofErr w:type="spellEnd"/>
          </w:p>
        </w:tc>
      </w:tr>
      <w:tr w:rsidR="00052808" w14:paraId="3DB5686D" w14:textId="77777777" w:rsidTr="00C90D7B">
        <w:trPr>
          <w:trHeight w:val="930"/>
        </w:trPr>
        <w:tc>
          <w:tcPr>
            <w:tcW w:w="468" w:type="dxa"/>
            <w:shd w:val="clear" w:color="auto" w:fill="auto"/>
          </w:tcPr>
          <w:p w14:paraId="21CC4DDC" w14:textId="54F2F5ED" w:rsidR="00052808" w:rsidRDefault="00052808" w:rsidP="00052808">
            <w:pPr>
              <w:jc w:val="center"/>
              <w:rPr>
                <w:sz w:val="20"/>
                <w:szCs w:val="20"/>
              </w:rPr>
            </w:pPr>
            <w:r w:rsidRPr="00DB1C81">
              <w:t>2</w:t>
            </w:r>
          </w:p>
        </w:tc>
        <w:tc>
          <w:tcPr>
            <w:tcW w:w="3342" w:type="dxa"/>
            <w:shd w:val="clear" w:color="auto" w:fill="auto"/>
            <w:vAlign w:val="center"/>
          </w:tcPr>
          <w:p w14:paraId="35D3C60B" w14:textId="24791DFA" w:rsidR="00052808" w:rsidRPr="00067397" w:rsidRDefault="00052808" w:rsidP="00052808">
            <w:r>
              <w:rPr>
                <w:sz w:val="22"/>
                <w:szCs w:val="22"/>
              </w:rPr>
              <w:t>Стандарт Залізо (</w:t>
            </w:r>
            <w:proofErr w:type="spellStart"/>
            <w:r>
              <w:rPr>
                <w:sz w:val="22"/>
                <w:szCs w:val="22"/>
              </w:rPr>
              <w:t>Fe</w:t>
            </w:r>
            <w:proofErr w:type="spellEnd"/>
            <w:r>
              <w:rPr>
                <w:sz w:val="22"/>
                <w:szCs w:val="22"/>
              </w:rPr>
              <w:t xml:space="preserve">), для калібрування кількісних тестів для визначення ненасиченої </w:t>
            </w:r>
            <w:proofErr w:type="spellStart"/>
            <w:r>
              <w:rPr>
                <w:sz w:val="22"/>
                <w:szCs w:val="22"/>
              </w:rPr>
              <w:t>залізозв’язуючої</w:t>
            </w:r>
            <w:proofErr w:type="spellEnd"/>
            <w:r>
              <w:rPr>
                <w:sz w:val="22"/>
                <w:szCs w:val="22"/>
              </w:rPr>
              <w:t xml:space="preserve"> здатності сироватки крові, 1 × 75 мл (</w:t>
            </w:r>
            <w:proofErr w:type="spellStart"/>
            <w:r>
              <w:rPr>
                <w:sz w:val="22"/>
                <w:szCs w:val="22"/>
              </w:rPr>
              <w:t>mL</w:t>
            </w:r>
            <w:proofErr w:type="spellEnd"/>
            <w:r>
              <w:rPr>
                <w:sz w:val="22"/>
                <w:szCs w:val="22"/>
              </w:rPr>
              <w:t xml:space="preserve">),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w:t>
            </w:r>
          </w:p>
        </w:tc>
        <w:tc>
          <w:tcPr>
            <w:tcW w:w="760" w:type="dxa"/>
            <w:shd w:val="clear" w:color="auto" w:fill="auto"/>
            <w:noWrap/>
            <w:vAlign w:val="center"/>
          </w:tcPr>
          <w:p w14:paraId="186154A9" w14:textId="241BC216" w:rsidR="00052808" w:rsidRPr="005E71B3" w:rsidRDefault="00052808" w:rsidP="00052808">
            <w:pPr>
              <w:jc w:val="center"/>
            </w:pPr>
            <w:r>
              <w:rPr>
                <w:sz w:val="22"/>
                <w:szCs w:val="22"/>
              </w:rPr>
              <w:t>набір</w:t>
            </w:r>
          </w:p>
        </w:tc>
        <w:tc>
          <w:tcPr>
            <w:tcW w:w="709" w:type="dxa"/>
            <w:shd w:val="clear" w:color="auto" w:fill="auto"/>
            <w:noWrap/>
            <w:vAlign w:val="center"/>
          </w:tcPr>
          <w:p w14:paraId="68F9A7DE" w14:textId="69881754" w:rsidR="00052808" w:rsidRPr="005E71B3" w:rsidRDefault="00052808" w:rsidP="00052808">
            <w:pPr>
              <w:jc w:val="center"/>
            </w:pPr>
            <w:r>
              <w:rPr>
                <w:sz w:val="22"/>
                <w:szCs w:val="22"/>
              </w:rPr>
              <w:t>1</w:t>
            </w:r>
          </w:p>
        </w:tc>
        <w:tc>
          <w:tcPr>
            <w:tcW w:w="1676" w:type="dxa"/>
            <w:shd w:val="clear" w:color="auto" w:fill="auto"/>
          </w:tcPr>
          <w:p w14:paraId="4CA9CCA2" w14:textId="571C764E" w:rsidR="00052808" w:rsidRPr="00F84350" w:rsidRDefault="00052808" w:rsidP="00052808">
            <w:r w:rsidRPr="00E23D28">
              <w:t>33690000-3 Лікарські засоби різні</w:t>
            </w:r>
          </w:p>
        </w:tc>
        <w:tc>
          <w:tcPr>
            <w:tcW w:w="4047" w:type="dxa"/>
            <w:shd w:val="clear" w:color="auto" w:fill="auto"/>
            <w:vAlign w:val="center"/>
          </w:tcPr>
          <w:p w14:paraId="291C4CA7" w14:textId="0D226C61" w:rsidR="00052808" w:rsidRPr="00A469E7" w:rsidRDefault="00052808" w:rsidP="00052808">
            <w:r>
              <w:rPr>
                <w:sz w:val="22"/>
                <w:szCs w:val="22"/>
              </w:rPr>
              <w:t xml:space="preserve">54760 Залізо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xml:space="preserve">), </w:t>
            </w:r>
            <w:proofErr w:type="spellStart"/>
            <w:r>
              <w:rPr>
                <w:sz w:val="22"/>
                <w:szCs w:val="22"/>
              </w:rPr>
              <w:t>калібратор</w:t>
            </w:r>
            <w:proofErr w:type="spellEnd"/>
          </w:p>
        </w:tc>
      </w:tr>
      <w:tr w:rsidR="00052808" w14:paraId="364AFF62" w14:textId="77777777" w:rsidTr="00C90D7B">
        <w:trPr>
          <w:trHeight w:val="930"/>
        </w:trPr>
        <w:tc>
          <w:tcPr>
            <w:tcW w:w="468" w:type="dxa"/>
            <w:shd w:val="clear" w:color="auto" w:fill="auto"/>
          </w:tcPr>
          <w:p w14:paraId="7077520B" w14:textId="05E9323A" w:rsidR="00052808" w:rsidRDefault="00052808" w:rsidP="00052808">
            <w:pPr>
              <w:jc w:val="center"/>
              <w:rPr>
                <w:sz w:val="20"/>
                <w:szCs w:val="20"/>
              </w:rPr>
            </w:pPr>
            <w:r w:rsidRPr="00DB1C81">
              <w:t>3</w:t>
            </w:r>
          </w:p>
        </w:tc>
        <w:tc>
          <w:tcPr>
            <w:tcW w:w="3342" w:type="dxa"/>
            <w:shd w:val="clear" w:color="auto" w:fill="auto"/>
            <w:vAlign w:val="center"/>
          </w:tcPr>
          <w:p w14:paraId="2C937346" w14:textId="39AA5E43" w:rsidR="00052808" w:rsidRPr="00067397" w:rsidRDefault="00052808" w:rsidP="00052808">
            <w:proofErr w:type="spellStart"/>
            <w:r>
              <w:rPr>
                <w:sz w:val="22"/>
                <w:szCs w:val="22"/>
              </w:rPr>
              <w:t>Калібратор</w:t>
            </w:r>
            <w:proofErr w:type="spellEnd"/>
            <w:r>
              <w:rPr>
                <w:sz w:val="22"/>
                <w:szCs w:val="22"/>
              </w:rPr>
              <w:t xml:space="preserve"> для автоматизованих систем </w:t>
            </w:r>
            <w:proofErr w:type="spellStart"/>
            <w:r>
              <w:rPr>
                <w:sz w:val="22"/>
                <w:szCs w:val="22"/>
              </w:rPr>
              <w:t>Цистатин</w:t>
            </w:r>
            <w:proofErr w:type="spellEnd"/>
            <w:r>
              <w:rPr>
                <w:sz w:val="22"/>
                <w:szCs w:val="22"/>
              </w:rPr>
              <w:t xml:space="preserve"> С, 4 × 1 мл (</w:t>
            </w:r>
            <w:proofErr w:type="spellStart"/>
            <w:r>
              <w:rPr>
                <w:sz w:val="22"/>
                <w:szCs w:val="22"/>
              </w:rPr>
              <w:t>mL</w:t>
            </w:r>
            <w:proofErr w:type="spellEnd"/>
            <w:r>
              <w:rPr>
                <w:sz w:val="22"/>
                <w:szCs w:val="22"/>
              </w:rPr>
              <w:t xml:space="preserve">),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w:t>
            </w:r>
          </w:p>
        </w:tc>
        <w:tc>
          <w:tcPr>
            <w:tcW w:w="760" w:type="dxa"/>
            <w:shd w:val="clear" w:color="auto" w:fill="auto"/>
            <w:noWrap/>
            <w:vAlign w:val="center"/>
          </w:tcPr>
          <w:p w14:paraId="2FBA00E6" w14:textId="094C4E0A" w:rsidR="00052808" w:rsidRPr="005E71B3" w:rsidRDefault="00052808" w:rsidP="00052808">
            <w:pPr>
              <w:jc w:val="center"/>
            </w:pPr>
            <w:r>
              <w:rPr>
                <w:sz w:val="22"/>
                <w:szCs w:val="22"/>
              </w:rPr>
              <w:t>набір</w:t>
            </w:r>
          </w:p>
        </w:tc>
        <w:tc>
          <w:tcPr>
            <w:tcW w:w="709" w:type="dxa"/>
            <w:shd w:val="clear" w:color="auto" w:fill="auto"/>
            <w:noWrap/>
            <w:vAlign w:val="center"/>
          </w:tcPr>
          <w:p w14:paraId="0DC14170" w14:textId="618F6EB8" w:rsidR="00052808" w:rsidRPr="005E71B3" w:rsidRDefault="00052808" w:rsidP="00052808">
            <w:pPr>
              <w:jc w:val="center"/>
            </w:pPr>
            <w:r>
              <w:rPr>
                <w:sz w:val="22"/>
                <w:szCs w:val="22"/>
              </w:rPr>
              <w:t>2</w:t>
            </w:r>
          </w:p>
        </w:tc>
        <w:tc>
          <w:tcPr>
            <w:tcW w:w="1676" w:type="dxa"/>
            <w:shd w:val="clear" w:color="auto" w:fill="auto"/>
          </w:tcPr>
          <w:p w14:paraId="49F81CE9" w14:textId="79F3786E" w:rsidR="00052808" w:rsidRPr="00F84350" w:rsidRDefault="00052808" w:rsidP="00052808">
            <w:r w:rsidRPr="00E23D28">
              <w:t>33690000-3 Лікарські засоби різні</w:t>
            </w:r>
          </w:p>
        </w:tc>
        <w:tc>
          <w:tcPr>
            <w:tcW w:w="4047" w:type="dxa"/>
            <w:shd w:val="clear" w:color="auto" w:fill="auto"/>
            <w:vAlign w:val="center"/>
          </w:tcPr>
          <w:p w14:paraId="4E79EB76" w14:textId="4DC04A41" w:rsidR="00052808" w:rsidRPr="00A469E7" w:rsidRDefault="00052808" w:rsidP="00052808">
            <w:r>
              <w:rPr>
                <w:sz w:val="22"/>
                <w:szCs w:val="22"/>
              </w:rPr>
              <w:t xml:space="preserve">48174 </w:t>
            </w:r>
            <w:proofErr w:type="spellStart"/>
            <w:r>
              <w:rPr>
                <w:sz w:val="22"/>
                <w:szCs w:val="22"/>
              </w:rPr>
              <w:t>Цистатін</w:t>
            </w:r>
            <w:proofErr w:type="spellEnd"/>
            <w:r>
              <w:rPr>
                <w:sz w:val="22"/>
                <w:szCs w:val="22"/>
              </w:rPr>
              <w:t xml:space="preserve"> C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xml:space="preserve">), </w:t>
            </w:r>
            <w:proofErr w:type="spellStart"/>
            <w:r>
              <w:rPr>
                <w:sz w:val="22"/>
                <w:szCs w:val="22"/>
              </w:rPr>
              <w:t>калібратор</w:t>
            </w:r>
            <w:proofErr w:type="spellEnd"/>
          </w:p>
        </w:tc>
      </w:tr>
      <w:tr w:rsidR="00052808" w14:paraId="101F5B21" w14:textId="77777777" w:rsidTr="00C90D7B">
        <w:trPr>
          <w:trHeight w:val="930"/>
        </w:trPr>
        <w:tc>
          <w:tcPr>
            <w:tcW w:w="468" w:type="dxa"/>
            <w:shd w:val="clear" w:color="auto" w:fill="auto"/>
          </w:tcPr>
          <w:p w14:paraId="180F29A3" w14:textId="5E388627" w:rsidR="00052808" w:rsidRDefault="00052808" w:rsidP="00052808">
            <w:pPr>
              <w:jc w:val="center"/>
              <w:rPr>
                <w:sz w:val="20"/>
                <w:szCs w:val="20"/>
              </w:rPr>
            </w:pPr>
            <w:r w:rsidRPr="00DB1C81">
              <w:t>4</w:t>
            </w:r>
          </w:p>
        </w:tc>
        <w:tc>
          <w:tcPr>
            <w:tcW w:w="3342" w:type="dxa"/>
            <w:shd w:val="clear" w:color="auto" w:fill="auto"/>
            <w:vAlign w:val="center"/>
          </w:tcPr>
          <w:p w14:paraId="18BD1581" w14:textId="0A5B121C" w:rsidR="00052808" w:rsidRPr="001F5544" w:rsidRDefault="00052808" w:rsidP="00052808">
            <w:r>
              <w:rPr>
                <w:sz w:val="22"/>
                <w:szCs w:val="22"/>
              </w:rPr>
              <w:t xml:space="preserve">Набір контролів для тестів для кількісного визначення </w:t>
            </w:r>
            <w:proofErr w:type="spellStart"/>
            <w:r>
              <w:rPr>
                <w:sz w:val="22"/>
                <w:szCs w:val="22"/>
              </w:rPr>
              <w:t>цистатину</w:t>
            </w:r>
            <w:proofErr w:type="spellEnd"/>
            <w:r>
              <w:rPr>
                <w:sz w:val="22"/>
                <w:szCs w:val="22"/>
              </w:rPr>
              <w:t xml:space="preserve"> С, Ген.2, 3 × 3 × 1 мл (</w:t>
            </w:r>
            <w:proofErr w:type="spellStart"/>
            <w:r>
              <w:rPr>
                <w:sz w:val="22"/>
                <w:szCs w:val="22"/>
              </w:rPr>
              <w:t>mL</w:t>
            </w:r>
            <w:proofErr w:type="spellEnd"/>
            <w:r>
              <w:rPr>
                <w:sz w:val="22"/>
                <w:szCs w:val="22"/>
              </w:rPr>
              <w:t>)</w:t>
            </w:r>
          </w:p>
        </w:tc>
        <w:tc>
          <w:tcPr>
            <w:tcW w:w="760" w:type="dxa"/>
            <w:shd w:val="clear" w:color="auto" w:fill="auto"/>
            <w:noWrap/>
            <w:vAlign w:val="center"/>
          </w:tcPr>
          <w:p w14:paraId="28EEADB0" w14:textId="3E963F07" w:rsidR="00052808" w:rsidRPr="00C26DD3" w:rsidRDefault="00052808" w:rsidP="00052808">
            <w:pPr>
              <w:jc w:val="center"/>
            </w:pPr>
            <w:r>
              <w:rPr>
                <w:sz w:val="22"/>
                <w:szCs w:val="22"/>
              </w:rPr>
              <w:t>набір</w:t>
            </w:r>
          </w:p>
        </w:tc>
        <w:tc>
          <w:tcPr>
            <w:tcW w:w="709" w:type="dxa"/>
            <w:shd w:val="clear" w:color="auto" w:fill="auto"/>
            <w:noWrap/>
            <w:vAlign w:val="center"/>
          </w:tcPr>
          <w:p w14:paraId="6789F8C6" w14:textId="110B832C" w:rsidR="00052808" w:rsidRPr="00C26DD3" w:rsidRDefault="00052808" w:rsidP="00052808">
            <w:pPr>
              <w:jc w:val="center"/>
            </w:pPr>
            <w:r>
              <w:rPr>
                <w:sz w:val="22"/>
                <w:szCs w:val="22"/>
              </w:rPr>
              <w:t>2</w:t>
            </w:r>
          </w:p>
        </w:tc>
        <w:tc>
          <w:tcPr>
            <w:tcW w:w="1676" w:type="dxa"/>
            <w:shd w:val="clear" w:color="auto" w:fill="auto"/>
          </w:tcPr>
          <w:p w14:paraId="3319BAD8" w14:textId="6569877D" w:rsidR="00052808" w:rsidRPr="00E23D28" w:rsidRDefault="00052808" w:rsidP="00052808">
            <w:r w:rsidRPr="008F4662">
              <w:t>33690000-3 Лікарські засоби різні</w:t>
            </w:r>
          </w:p>
        </w:tc>
        <w:tc>
          <w:tcPr>
            <w:tcW w:w="4047" w:type="dxa"/>
            <w:shd w:val="clear" w:color="auto" w:fill="auto"/>
            <w:vAlign w:val="center"/>
          </w:tcPr>
          <w:p w14:paraId="7D21AE0E" w14:textId="05FA2193" w:rsidR="00052808" w:rsidRPr="00A469E7" w:rsidRDefault="00052808" w:rsidP="00052808">
            <w:r>
              <w:rPr>
                <w:sz w:val="22"/>
                <w:szCs w:val="22"/>
              </w:rPr>
              <w:t xml:space="preserve">48175 </w:t>
            </w:r>
            <w:proofErr w:type="spellStart"/>
            <w:r>
              <w:rPr>
                <w:sz w:val="22"/>
                <w:szCs w:val="22"/>
              </w:rPr>
              <w:t>Цистатін</w:t>
            </w:r>
            <w:proofErr w:type="spellEnd"/>
            <w:r>
              <w:rPr>
                <w:sz w:val="22"/>
                <w:szCs w:val="22"/>
              </w:rPr>
              <w:t xml:space="preserve"> C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контрольний матеріал</w:t>
            </w:r>
          </w:p>
        </w:tc>
      </w:tr>
      <w:tr w:rsidR="00052808" w14:paraId="23BDDE5B" w14:textId="77777777" w:rsidTr="00C90D7B">
        <w:trPr>
          <w:trHeight w:val="930"/>
        </w:trPr>
        <w:tc>
          <w:tcPr>
            <w:tcW w:w="468" w:type="dxa"/>
            <w:shd w:val="clear" w:color="auto" w:fill="auto"/>
          </w:tcPr>
          <w:p w14:paraId="1DF7C733" w14:textId="397F7104" w:rsidR="00052808" w:rsidRDefault="00052808" w:rsidP="00052808">
            <w:pPr>
              <w:jc w:val="center"/>
              <w:rPr>
                <w:sz w:val="20"/>
                <w:szCs w:val="20"/>
              </w:rPr>
            </w:pPr>
            <w:r w:rsidRPr="00DB1C81">
              <w:t>5</w:t>
            </w:r>
          </w:p>
        </w:tc>
        <w:tc>
          <w:tcPr>
            <w:tcW w:w="3342" w:type="dxa"/>
            <w:shd w:val="clear" w:color="auto" w:fill="auto"/>
            <w:vAlign w:val="center"/>
          </w:tcPr>
          <w:p w14:paraId="45A1AA92" w14:textId="6F5F3F61" w:rsidR="00052808" w:rsidRPr="001F5544" w:rsidRDefault="00052808" w:rsidP="00052808">
            <w:r>
              <w:rPr>
                <w:sz w:val="22"/>
                <w:szCs w:val="22"/>
              </w:rPr>
              <w:t>Активатор, 9 × 12 мл (</w:t>
            </w:r>
            <w:proofErr w:type="spellStart"/>
            <w:r>
              <w:rPr>
                <w:sz w:val="22"/>
                <w:szCs w:val="22"/>
              </w:rPr>
              <w:t>mL</w:t>
            </w:r>
            <w:proofErr w:type="spellEnd"/>
            <w:r>
              <w:rPr>
                <w:sz w:val="22"/>
                <w:szCs w:val="22"/>
              </w:rPr>
              <w:t xml:space="preserve">),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111/311/501, </w:t>
            </w:r>
            <w:proofErr w:type="spellStart"/>
            <w:r>
              <w:rPr>
                <w:sz w:val="22"/>
                <w:szCs w:val="22"/>
              </w:rPr>
              <w:t>cobas</w:t>
            </w:r>
            <w:proofErr w:type="spellEnd"/>
            <w:r>
              <w:rPr>
                <w:sz w:val="22"/>
                <w:szCs w:val="22"/>
              </w:rPr>
              <w:t xml:space="preserve"> </w:t>
            </w:r>
            <w:proofErr w:type="spellStart"/>
            <w:r>
              <w:rPr>
                <w:sz w:val="22"/>
                <w:szCs w:val="22"/>
              </w:rPr>
              <w:t>pro</w:t>
            </w:r>
            <w:proofErr w:type="spellEnd"/>
            <w:r>
              <w:rPr>
                <w:sz w:val="22"/>
                <w:szCs w:val="22"/>
              </w:rPr>
              <w:t xml:space="preserve">, </w:t>
            </w:r>
            <w:proofErr w:type="spellStart"/>
            <w:r>
              <w:rPr>
                <w:sz w:val="22"/>
                <w:szCs w:val="22"/>
              </w:rPr>
              <w:t>cobas</w:t>
            </w:r>
            <w:proofErr w:type="spellEnd"/>
            <w:r>
              <w:rPr>
                <w:sz w:val="22"/>
                <w:szCs w:val="22"/>
              </w:rPr>
              <w:t xml:space="preserve"> 8000, </w:t>
            </w:r>
            <w:proofErr w:type="spellStart"/>
            <w:r>
              <w:rPr>
                <w:sz w:val="22"/>
                <w:szCs w:val="22"/>
              </w:rPr>
              <w:t>cobas</w:t>
            </w:r>
            <w:proofErr w:type="spellEnd"/>
            <w:r>
              <w:rPr>
                <w:sz w:val="22"/>
                <w:szCs w:val="22"/>
              </w:rPr>
              <w:t xml:space="preserve"> </w:t>
            </w:r>
            <w:proofErr w:type="spellStart"/>
            <w:r>
              <w:rPr>
                <w:sz w:val="22"/>
                <w:szCs w:val="22"/>
              </w:rPr>
              <w:t>pure</w:t>
            </w:r>
            <w:proofErr w:type="spellEnd"/>
          </w:p>
        </w:tc>
        <w:tc>
          <w:tcPr>
            <w:tcW w:w="760" w:type="dxa"/>
            <w:shd w:val="clear" w:color="auto" w:fill="auto"/>
            <w:noWrap/>
            <w:vAlign w:val="center"/>
          </w:tcPr>
          <w:p w14:paraId="661981F9" w14:textId="4B78B97D" w:rsidR="00052808" w:rsidRPr="00C26DD3" w:rsidRDefault="00052808" w:rsidP="00052808">
            <w:pPr>
              <w:jc w:val="center"/>
            </w:pPr>
            <w:r>
              <w:rPr>
                <w:sz w:val="22"/>
                <w:szCs w:val="22"/>
              </w:rPr>
              <w:t>набір</w:t>
            </w:r>
          </w:p>
        </w:tc>
        <w:tc>
          <w:tcPr>
            <w:tcW w:w="709" w:type="dxa"/>
            <w:shd w:val="clear" w:color="auto" w:fill="auto"/>
            <w:noWrap/>
            <w:vAlign w:val="center"/>
          </w:tcPr>
          <w:p w14:paraId="7B9C0C9D" w14:textId="0FBB2309" w:rsidR="00052808" w:rsidRPr="00C26DD3" w:rsidRDefault="00052808" w:rsidP="00052808">
            <w:pPr>
              <w:jc w:val="center"/>
            </w:pPr>
            <w:r>
              <w:rPr>
                <w:sz w:val="22"/>
                <w:szCs w:val="22"/>
              </w:rPr>
              <w:t>1</w:t>
            </w:r>
          </w:p>
        </w:tc>
        <w:tc>
          <w:tcPr>
            <w:tcW w:w="1676" w:type="dxa"/>
            <w:shd w:val="clear" w:color="auto" w:fill="auto"/>
          </w:tcPr>
          <w:p w14:paraId="2C9CD71A" w14:textId="1C7FA5DF" w:rsidR="00052808" w:rsidRPr="00E23D28" w:rsidRDefault="00052808" w:rsidP="00052808">
            <w:r w:rsidRPr="008F4662">
              <w:t>33690000-3 Лікарські засоби різні</w:t>
            </w:r>
          </w:p>
        </w:tc>
        <w:tc>
          <w:tcPr>
            <w:tcW w:w="4047" w:type="dxa"/>
            <w:shd w:val="clear" w:color="auto" w:fill="auto"/>
            <w:vAlign w:val="center"/>
          </w:tcPr>
          <w:p w14:paraId="17F4C1DC" w14:textId="1900C639" w:rsidR="00052808" w:rsidRPr="00A469E7" w:rsidRDefault="00052808" w:rsidP="00052808">
            <w:r>
              <w:rPr>
                <w:sz w:val="22"/>
                <w:szCs w:val="22"/>
              </w:rPr>
              <w:t xml:space="preserve">59238 </w:t>
            </w:r>
            <w:proofErr w:type="spellStart"/>
            <w:r>
              <w:rPr>
                <w:sz w:val="22"/>
                <w:szCs w:val="22"/>
              </w:rPr>
              <w:t>Іоноселективний</w:t>
            </w:r>
            <w:proofErr w:type="spellEnd"/>
            <w:r>
              <w:rPr>
                <w:sz w:val="22"/>
                <w:szCs w:val="22"/>
              </w:rPr>
              <w:t xml:space="preserve"> електрод референтний розчин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реагент</w:t>
            </w:r>
          </w:p>
        </w:tc>
      </w:tr>
      <w:tr w:rsidR="00052808" w14:paraId="4B4A023E" w14:textId="77777777" w:rsidTr="00C90D7B">
        <w:trPr>
          <w:trHeight w:val="930"/>
        </w:trPr>
        <w:tc>
          <w:tcPr>
            <w:tcW w:w="468" w:type="dxa"/>
            <w:shd w:val="clear" w:color="auto" w:fill="auto"/>
          </w:tcPr>
          <w:p w14:paraId="4607FCD6" w14:textId="691F810A" w:rsidR="00052808" w:rsidRDefault="00052808" w:rsidP="00052808">
            <w:pPr>
              <w:jc w:val="center"/>
              <w:rPr>
                <w:sz w:val="20"/>
                <w:szCs w:val="20"/>
              </w:rPr>
            </w:pPr>
            <w:r w:rsidRPr="00DB1C81">
              <w:t>6</w:t>
            </w:r>
          </w:p>
        </w:tc>
        <w:tc>
          <w:tcPr>
            <w:tcW w:w="3342" w:type="dxa"/>
            <w:shd w:val="clear" w:color="auto" w:fill="auto"/>
            <w:vAlign w:val="center"/>
          </w:tcPr>
          <w:p w14:paraId="3B7B64ED" w14:textId="27552B17" w:rsidR="00052808" w:rsidRPr="001F5544" w:rsidRDefault="00052808" w:rsidP="00052808">
            <w:proofErr w:type="spellStart"/>
            <w:r>
              <w:rPr>
                <w:sz w:val="22"/>
                <w:szCs w:val="22"/>
              </w:rPr>
              <w:t>Імуноаналіз</w:t>
            </w:r>
            <w:proofErr w:type="spellEnd"/>
            <w:r>
              <w:rPr>
                <w:sz w:val="22"/>
                <w:szCs w:val="22"/>
              </w:rPr>
              <w:t xml:space="preserve"> </w:t>
            </w:r>
            <w:proofErr w:type="spellStart"/>
            <w:r>
              <w:rPr>
                <w:sz w:val="22"/>
                <w:szCs w:val="22"/>
              </w:rPr>
              <w:t>Elecsys</w:t>
            </w:r>
            <w:proofErr w:type="spellEnd"/>
            <w:r>
              <w:rPr>
                <w:sz w:val="22"/>
                <w:szCs w:val="22"/>
              </w:rPr>
              <w:t xml:space="preserve"> для кількісного визначення загального N-термінального </w:t>
            </w:r>
            <w:proofErr w:type="spellStart"/>
            <w:r>
              <w:rPr>
                <w:sz w:val="22"/>
                <w:szCs w:val="22"/>
              </w:rPr>
              <w:t>пропептиду</w:t>
            </w:r>
            <w:proofErr w:type="spellEnd"/>
            <w:r>
              <w:rPr>
                <w:sz w:val="22"/>
                <w:szCs w:val="22"/>
              </w:rPr>
              <w:t xml:space="preserve"> </w:t>
            </w:r>
            <w:proofErr w:type="spellStart"/>
            <w:r>
              <w:rPr>
                <w:sz w:val="22"/>
                <w:szCs w:val="22"/>
              </w:rPr>
              <w:t>проколагену</w:t>
            </w:r>
            <w:proofErr w:type="spellEnd"/>
            <w:r>
              <w:rPr>
                <w:sz w:val="22"/>
                <w:szCs w:val="22"/>
              </w:rPr>
              <w:t xml:space="preserve"> 1 типу (P1NP), 100 тестів, для </w:t>
            </w:r>
            <w:proofErr w:type="spellStart"/>
            <w:r>
              <w:rPr>
                <w:sz w:val="22"/>
                <w:szCs w:val="22"/>
              </w:rPr>
              <w:t>cobas</w:t>
            </w:r>
            <w:proofErr w:type="spellEnd"/>
            <w:r>
              <w:rPr>
                <w:sz w:val="22"/>
                <w:szCs w:val="22"/>
              </w:rPr>
              <w:t xml:space="preserve"> e 411/601/602</w:t>
            </w:r>
          </w:p>
        </w:tc>
        <w:tc>
          <w:tcPr>
            <w:tcW w:w="760" w:type="dxa"/>
            <w:shd w:val="clear" w:color="auto" w:fill="auto"/>
            <w:noWrap/>
            <w:vAlign w:val="center"/>
          </w:tcPr>
          <w:p w14:paraId="07DBA102" w14:textId="327873C0" w:rsidR="00052808" w:rsidRPr="00C26DD3" w:rsidRDefault="00052808" w:rsidP="00052808">
            <w:pPr>
              <w:jc w:val="center"/>
            </w:pPr>
            <w:proofErr w:type="spellStart"/>
            <w:r>
              <w:rPr>
                <w:sz w:val="22"/>
                <w:szCs w:val="22"/>
              </w:rPr>
              <w:t>шт</w:t>
            </w:r>
            <w:proofErr w:type="spellEnd"/>
          </w:p>
        </w:tc>
        <w:tc>
          <w:tcPr>
            <w:tcW w:w="709" w:type="dxa"/>
            <w:shd w:val="clear" w:color="auto" w:fill="auto"/>
            <w:noWrap/>
            <w:vAlign w:val="center"/>
          </w:tcPr>
          <w:p w14:paraId="0FBC7317" w14:textId="01BCFBE0" w:rsidR="00052808" w:rsidRPr="00C26DD3" w:rsidRDefault="00052808" w:rsidP="00052808">
            <w:pPr>
              <w:jc w:val="center"/>
            </w:pPr>
            <w:r>
              <w:rPr>
                <w:sz w:val="22"/>
                <w:szCs w:val="22"/>
              </w:rPr>
              <w:t>1</w:t>
            </w:r>
          </w:p>
        </w:tc>
        <w:tc>
          <w:tcPr>
            <w:tcW w:w="1676" w:type="dxa"/>
            <w:shd w:val="clear" w:color="auto" w:fill="auto"/>
          </w:tcPr>
          <w:p w14:paraId="4B97F705" w14:textId="680B1F38" w:rsidR="00052808" w:rsidRPr="00E23D28" w:rsidRDefault="00052808" w:rsidP="00052808">
            <w:r w:rsidRPr="008F4662">
              <w:t>33690000-3 Лікарські засоби різні</w:t>
            </w:r>
          </w:p>
        </w:tc>
        <w:tc>
          <w:tcPr>
            <w:tcW w:w="4047" w:type="dxa"/>
            <w:shd w:val="clear" w:color="auto" w:fill="auto"/>
            <w:vAlign w:val="center"/>
          </w:tcPr>
          <w:p w14:paraId="1FEC6777" w14:textId="099D3829" w:rsidR="00052808" w:rsidRPr="00A469E7" w:rsidRDefault="00052808" w:rsidP="00052808">
            <w:r>
              <w:rPr>
                <w:sz w:val="22"/>
                <w:szCs w:val="22"/>
              </w:rPr>
              <w:t xml:space="preserve">53640 С-термінальний </w:t>
            </w:r>
            <w:proofErr w:type="spellStart"/>
            <w:r>
              <w:rPr>
                <w:sz w:val="22"/>
                <w:szCs w:val="22"/>
              </w:rPr>
              <w:t>пропептид</w:t>
            </w:r>
            <w:proofErr w:type="spellEnd"/>
            <w:r>
              <w:rPr>
                <w:sz w:val="22"/>
                <w:szCs w:val="22"/>
              </w:rPr>
              <w:t xml:space="preserve"> </w:t>
            </w:r>
            <w:proofErr w:type="spellStart"/>
            <w:r>
              <w:rPr>
                <w:sz w:val="22"/>
                <w:szCs w:val="22"/>
              </w:rPr>
              <w:t>проколагену</w:t>
            </w:r>
            <w:proofErr w:type="spellEnd"/>
            <w:r>
              <w:rPr>
                <w:sz w:val="22"/>
                <w:szCs w:val="22"/>
              </w:rPr>
              <w:t xml:space="preserve">  типу I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xml:space="preserve">), набір, </w:t>
            </w:r>
            <w:proofErr w:type="spellStart"/>
            <w:r>
              <w:rPr>
                <w:sz w:val="22"/>
                <w:szCs w:val="22"/>
              </w:rPr>
              <w:t>імуноферментний</w:t>
            </w:r>
            <w:proofErr w:type="spellEnd"/>
            <w:r>
              <w:rPr>
                <w:sz w:val="22"/>
                <w:szCs w:val="22"/>
              </w:rPr>
              <w:t xml:space="preserve"> аналіз (ІФА)</w:t>
            </w:r>
          </w:p>
        </w:tc>
      </w:tr>
      <w:tr w:rsidR="00052808" w14:paraId="71105552" w14:textId="77777777" w:rsidTr="00C90D7B">
        <w:trPr>
          <w:trHeight w:val="930"/>
        </w:trPr>
        <w:tc>
          <w:tcPr>
            <w:tcW w:w="468" w:type="dxa"/>
            <w:shd w:val="clear" w:color="auto" w:fill="auto"/>
          </w:tcPr>
          <w:p w14:paraId="7634338E" w14:textId="1EFCC9AB" w:rsidR="00052808" w:rsidRDefault="00052808" w:rsidP="00052808">
            <w:pPr>
              <w:jc w:val="center"/>
              <w:rPr>
                <w:sz w:val="20"/>
                <w:szCs w:val="20"/>
              </w:rPr>
            </w:pPr>
            <w:r w:rsidRPr="00DB1C81">
              <w:lastRenderedPageBreak/>
              <w:t>7</w:t>
            </w:r>
          </w:p>
        </w:tc>
        <w:tc>
          <w:tcPr>
            <w:tcW w:w="3342" w:type="dxa"/>
            <w:shd w:val="clear" w:color="auto" w:fill="auto"/>
            <w:vAlign w:val="center"/>
          </w:tcPr>
          <w:p w14:paraId="4BAAD070" w14:textId="01767BDB" w:rsidR="00052808" w:rsidRPr="00067397" w:rsidRDefault="00052808" w:rsidP="00052808">
            <w:r>
              <w:rPr>
                <w:sz w:val="22"/>
                <w:szCs w:val="22"/>
              </w:rPr>
              <w:t xml:space="preserve">Набір для калібрування тесту для кількісного визначення загального N-термінального </w:t>
            </w:r>
            <w:proofErr w:type="spellStart"/>
            <w:r>
              <w:rPr>
                <w:sz w:val="22"/>
                <w:szCs w:val="22"/>
              </w:rPr>
              <w:t>пропептиду</w:t>
            </w:r>
            <w:proofErr w:type="spellEnd"/>
            <w:r>
              <w:rPr>
                <w:sz w:val="22"/>
                <w:szCs w:val="22"/>
              </w:rPr>
              <w:t xml:space="preserve"> </w:t>
            </w:r>
            <w:proofErr w:type="spellStart"/>
            <w:r>
              <w:rPr>
                <w:sz w:val="22"/>
                <w:szCs w:val="22"/>
              </w:rPr>
              <w:t>проколагену</w:t>
            </w:r>
            <w:proofErr w:type="spellEnd"/>
            <w:r>
              <w:rPr>
                <w:sz w:val="22"/>
                <w:szCs w:val="22"/>
              </w:rPr>
              <w:t xml:space="preserve"> 1 типу (P1NP), 2 × 2 × 1 мл (</w:t>
            </w:r>
            <w:proofErr w:type="spellStart"/>
            <w:r>
              <w:rPr>
                <w:sz w:val="22"/>
                <w:szCs w:val="22"/>
              </w:rPr>
              <w:t>mL</w:t>
            </w:r>
            <w:proofErr w:type="spellEnd"/>
            <w:r>
              <w:rPr>
                <w:sz w:val="22"/>
                <w:szCs w:val="22"/>
              </w:rPr>
              <w:t xml:space="preserve">), для </w:t>
            </w:r>
            <w:proofErr w:type="spellStart"/>
            <w:r>
              <w:rPr>
                <w:sz w:val="22"/>
                <w:szCs w:val="22"/>
              </w:rPr>
              <w:t>cobas</w:t>
            </w:r>
            <w:proofErr w:type="spellEnd"/>
            <w:r>
              <w:rPr>
                <w:sz w:val="22"/>
                <w:szCs w:val="22"/>
              </w:rPr>
              <w:t xml:space="preserve"> e</w:t>
            </w:r>
          </w:p>
        </w:tc>
        <w:tc>
          <w:tcPr>
            <w:tcW w:w="760" w:type="dxa"/>
            <w:shd w:val="clear" w:color="auto" w:fill="auto"/>
            <w:noWrap/>
            <w:vAlign w:val="center"/>
          </w:tcPr>
          <w:p w14:paraId="730B2A48" w14:textId="1FC0B3BB" w:rsidR="00052808" w:rsidRPr="005E71B3" w:rsidRDefault="00052808" w:rsidP="00052808">
            <w:pPr>
              <w:jc w:val="center"/>
            </w:pPr>
            <w:r>
              <w:rPr>
                <w:sz w:val="22"/>
                <w:szCs w:val="22"/>
              </w:rPr>
              <w:t>набір</w:t>
            </w:r>
          </w:p>
        </w:tc>
        <w:tc>
          <w:tcPr>
            <w:tcW w:w="709" w:type="dxa"/>
            <w:shd w:val="clear" w:color="auto" w:fill="auto"/>
            <w:noWrap/>
            <w:vAlign w:val="center"/>
          </w:tcPr>
          <w:p w14:paraId="0E6204F2" w14:textId="45527C7D" w:rsidR="00052808" w:rsidRPr="005E71B3" w:rsidRDefault="00052808" w:rsidP="00052808">
            <w:pPr>
              <w:jc w:val="center"/>
            </w:pPr>
            <w:r>
              <w:rPr>
                <w:sz w:val="22"/>
                <w:szCs w:val="22"/>
              </w:rPr>
              <w:t>1</w:t>
            </w:r>
          </w:p>
        </w:tc>
        <w:tc>
          <w:tcPr>
            <w:tcW w:w="1676" w:type="dxa"/>
            <w:shd w:val="clear" w:color="auto" w:fill="auto"/>
          </w:tcPr>
          <w:p w14:paraId="616463E5" w14:textId="25F8DC0F" w:rsidR="00052808" w:rsidRPr="00F84350" w:rsidRDefault="00052808" w:rsidP="00052808">
            <w:r w:rsidRPr="008F4662">
              <w:t>33690000-3 Лікарські засоби різні</w:t>
            </w:r>
          </w:p>
        </w:tc>
        <w:tc>
          <w:tcPr>
            <w:tcW w:w="4047" w:type="dxa"/>
            <w:shd w:val="clear" w:color="auto" w:fill="auto"/>
            <w:vAlign w:val="center"/>
          </w:tcPr>
          <w:p w14:paraId="635939EE" w14:textId="2353C39E" w:rsidR="00052808" w:rsidRPr="00A469E7" w:rsidRDefault="00052808" w:rsidP="00052808">
            <w:r>
              <w:rPr>
                <w:sz w:val="22"/>
                <w:szCs w:val="22"/>
              </w:rPr>
              <w:t xml:space="preserve">53640 С-термінальний </w:t>
            </w:r>
            <w:proofErr w:type="spellStart"/>
            <w:r>
              <w:rPr>
                <w:sz w:val="22"/>
                <w:szCs w:val="22"/>
              </w:rPr>
              <w:t>пропептид</w:t>
            </w:r>
            <w:proofErr w:type="spellEnd"/>
            <w:r>
              <w:rPr>
                <w:sz w:val="22"/>
                <w:szCs w:val="22"/>
              </w:rPr>
              <w:t xml:space="preserve"> </w:t>
            </w:r>
            <w:proofErr w:type="spellStart"/>
            <w:r>
              <w:rPr>
                <w:sz w:val="22"/>
                <w:szCs w:val="22"/>
              </w:rPr>
              <w:t>проколагену</w:t>
            </w:r>
            <w:proofErr w:type="spellEnd"/>
            <w:r>
              <w:rPr>
                <w:sz w:val="22"/>
                <w:szCs w:val="22"/>
              </w:rPr>
              <w:t xml:space="preserve">  типу I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xml:space="preserve">), набір, </w:t>
            </w:r>
            <w:proofErr w:type="spellStart"/>
            <w:r>
              <w:rPr>
                <w:sz w:val="22"/>
                <w:szCs w:val="22"/>
              </w:rPr>
              <w:t>імуноферментний</w:t>
            </w:r>
            <w:proofErr w:type="spellEnd"/>
            <w:r>
              <w:rPr>
                <w:sz w:val="22"/>
                <w:szCs w:val="22"/>
              </w:rPr>
              <w:t xml:space="preserve"> аналіз (ІФА)</w:t>
            </w:r>
          </w:p>
        </w:tc>
      </w:tr>
      <w:tr w:rsidR="00052808" w14:paraId="2F321C42" w14:textId="77777777" w:rsidTr="00C90D7B">
        <w:trPr>
          <w:trHeight w:val="930"/>
        </w:trPr>
        <w:tc>
          <w:tcPr>
            <w:tcW w:w="468" w:type="dxa"/>
            <w:shd w:val="clear" w:color="auto" w:fill="auto"/>
          </w:tcPr>
          <w:p w14:paraId="4CF2E55E" w14:textId="18D5827E" w:rsidR="00052808" w:rsidRDefault="00052808" w:rsidP="00052808">
            <w:pPr>
              <w:jc w:val="center"/>
              <w:rPr>
                <w:sz w:val="20"/>
                <w:szCs w:val="20"/>
              </w:rPr>
            </w:pPr>
            <w:r w:rsidRPr="00DB1C81">
              <w:t>8</w:t>
            </w:r>
          </w:p>
        </w:tc>
        <w:tc>
          <w:tcPr>
            <w:tcW w:w="3342" w:type="dxa"/>
            <w:shd w:val="clear" w:color="auto" w:fill="auto"/>
            <w:vAlign w:val="center"/>
          </w:tcPr>
          <w:p w14:paraId="1D562CFA" w14:textId="7AA700D2" w:rsidR="00052808" w:rsidRPr="00067397" w:rsidRDefault="00052808" w:rsidP="00052808">
            <w:r>
              <w:rPr>
                <w:sz w:val="22"/>
                <w:szCs w:val="22"/>
              </w:rPr>
              <w:t xml:space="preserve">Контроль </w:t>
            </w:r>
            <w:proofErr w:type="spellStart"/>
            <w:r>
              <w:rPr>
                <w:sz w:val="22"/>
                <w:szCs w:val="22"/>
              </w:rPr>
              <w:t>PreciControl</w:t>
            </w:r>
            <w:proofErr w:type="spellEnd"/>
            <w:r>
              <w:rPr>
                <w:sz w:val="22"/>
                <w:szCs w:val="22"/>
              </w:rPr>
              <w:t xml:space="preserve"> </w:t>
            </w:r>
            <w:proofErr w:type="spellStart"/>
            <w:r>
              <w:rPr>
                <w:sz w:val="22"/>
                <w:szCs w:val="22"/>
              </w:rPr>
              <w:t>Варіа</w:t>
            </w:r>
            <w:proofErr w:type="spellEnd"/>
            <w:r>
              <w:rPr>
                <w:sz w:val="22"/>
                <w:szCs w:val="22"/>
              </w:rPr>
              <w:t xml:space="preserve"> (</w:t>
            </w:r>
            <w:proofErr w:type="spellStart"/>
            <w:r>
              <w:rPr>
                <w:sz w:val="22"/>
                <w:szCs w:val="22"/>
              </w:rPr>
              <w:t>Varia</w:t>
            </w:r>
            <w:proofErr w:type="spellEnd"/>
            <w:r>
              <w:rPr>
                <w:sz w:val="22"/>
                <w:szCs w:val="22"/>
              </w:rPr>
              <w:t>), 2 × 2 × 3 мл (</w:t>
            </w:r>
            <w:proofErr w:type="spellStart"/>
            <w:r>
              <w:rPr>
                <w:sz w:val="22"/>
                <w:szCs w:val="22"/>
              </w:rPr>
              <w:t>mL</w:t>
            </w:r>
            <w:proofErr w:type="spellEnd"/>
            <w:r>
              <w:rPr>
                <w:sz w:val="22"/>
                <w:szCs w:val="22"/>
              </w:rPr>
              <w:t xml:space="preserve">), для </w:t>
            </w:r>
            <w:proofErr w:type="spellStart"/>
            <w:r>
              <w:rPr>
                <w:sz w:val="22"/>
                <w:szCs w:val="22"/>
              </w:rPr>
              <w:t>cobas</w:t>
            </w:r>
            <w:proofErr w:type="spellEnd"/>
            <w:r>
              <w:rPr>
                <w:sz w:val="22"/>
                <w:szCs w:val="22"/>
              </w:rPr>
              <w:t xml:space="preserve"> e</w:t>
            </w:r>
          </w:p>
        </w:tc>
        <w:tc>
          <w:tcPr>
            <w:tcW w:w="760" w:type="dxa"/>
            <w:shd w:val="clear" w:color="auto" w:fill="auto"/>
            <w:noWrap/>
            <w:vAlign w:val="center"/>
          </w:tcPr>
          <w:p w14:paraId="0E0846E5" w14:textId="285F37C0" w:rsidR="00052808" w:rsidRPr="005E71B3" w:rsidRDefault="00052808" w:rsidP="00052808">
            <w:pPr>
              <w:jc w:val="center"/>
            </w:pPr>
            <w:r>
              <w:rPr>
                <w:sz w:val="22"/>
                <w:szCs w:val="22"/>
              </w:rPr>
              <w:t>набір</w:t>
            </w:r>
          </w:p>
        </w:tc>
        <w:tc>
          <w:tcPr>
            <w:tcW w:w="709" w:type="dxa"/>
            <w:shd w:val="clear" w:color="auto" w:fill="auto"/>
            <w:noWrap/>
            <w:vAlign w:val="center"/>
          </w:tcPr>
          <w:p w14:paraId="6E946B06" w14:textId="2DB52A7A" w:rsidR="00052808" w:rsidRPr="005E71B3" w:rsidRDefault="00052808" w:rsidP="00052808">
            <w:pPr>
              <w:jc w:val="center"/>
            </w:pPr>
            <w:r>
              <w:rPr>
                <w:sz w:val="22"/>
                <w:szCs w:val="22"/>
              </w:rPr>
              <w:t>1</w:t>
            </w:r>
          </w:p>
        </w:tc>
        <w:tc>
          <w:tcPr>
            <w:tcW w:w="1676" w:type="dxa"/>
            <w:shd w:val="clear" w:color="auto" w:fill="auto"/>
          </w:tcPr>
          <w:p w14:paraId="4EDAA8FC" w14:textId="5AA7EA3D" w:rsidR="00052808" w:rsidRPr="00F84350" w:rsidRDefault="00052808" w:rsidP="00052808">
            <w:r w:rsidRPr="008F4662">
              <w:t>33690000-3 Лікарські засоби різні</w:t>
            </w:r>
          </w:p>
        </w:tc>
        <w:tc>
          <w:tcPr>
            <w:tcW w:w="4047" w:type="dxa"/>
            <w:shd w:val="clear" w:color="auto" w:fill="auto"/>
            <w:vAlign w:val="center"/>
          </w:tcPr>
          <w:p w14:paraId="3591A34A" w14:textId="71403CF0" w:rsidR="00052808" w:rsidRPr="00A469E7" w:rsidRDefault="00052808" w:rsidP="00052808">
            <w:r>
              <w:rPr>
                <w:sz w:val="22"/>
                <w:szCs w:val="22"/>
              </w:rPr>
              <w:t xml:space="preserve">47869 Множинні </w:t>
            </w:r>
            <w:proofErr w:type="spellStart"/>
            <w:r>
              <w:rPr>
                <w:sz w:val="22"/>
                <w:szCs w:val="22"/>
              </w:rPr>
              <w:t>аналіти</w:t>
            </w:r>
            <w:proofErr w:type="spellEnd"/>
            <w:r>
              <w:rPr>
                <w:sz w:val="22"/>
                <w:szCs w:val="22"/>
              </w:rPr>
              <w:t xml:space="preserve"> клінічної хімії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контрольний матеріал</w:t>
            </w:r>
          </w:p>
        </w:tc>
      </w:tr>
      <w:tr w:rsidR="00052808" w14:paraId="7DB4B12E" w14:textId="77777777" w:rsidTr="00C90D7B">
        <w:trPr>
          <w:trHeight w:val="930"/>
        </w:trPr>
        <w:tc>
          <w:tcPr>
            <w:tcW w:w="468" w:type="dxa"/>
            <w:shd w:val="clear" w:color="auto" w:fill="auto"/>
          </w:tcPr>
          <w:p w14:paraId="169BF396" w14:textId="45365151" w:rsidR="00052808" w:rsidRPr="005E71B3" w:rsidRDefault="00052808" w:rsidP="00052808">
            <w:pPr>
              <w:jc w:val="center"/>
              <w:rPr>
                <w:color w:val="000000"/>
                <w:lang w:val="en-US"/>
              </w:rPr>
            </w:pPr>
            <w:r w:rsidRPr="00DB1C81">
              <w:t>9</w:t>
            </w:r>
          </w:p>
        </w:tc>
        <w:tc>
          <w:tcPr>
            <w:tcW w:w="3342" w:type="dxa"/>
            <w:shd w:val="clear" w:color="auto" w:fill="auto"/>
            <w:vAlign w:val="center"/>
          </w:tcPr>
          <w:p w14:paraId="77DC83E0" w14:textId="0D46CF3A" w:rsidR="00052808" w:rsidRPr="00067397" w:rsidRDefault="00052808" w:rsidP="00052808">
            <w:proofErr w:type="spellStart"/>
            <w:r>
              <w:rPr>
                <w:sz w:val="22"/>
                <w:szCs w:val="22"/>
              </w:rPr>
              <w:t>Імуноаналіз</w:t>
            </w:r>
            <w:proofErr w:type="spellEnd"/>
            <w:r>
              <w:rPr>
                <w:sz w:val="22"/>
                <w:szCs w:val="22"/>
              </w:rPr>
              <w:t xml:space="preserve"> </w:t>
            </w:r>
            <w:proofErr w:type="spellStart"/>
            <w:r>
              <w:rPr>
                <w:sz w:val="22"/>
                <w:szCs w:val="22"/>
              </w:rPr>
              <w:t>Elecsys</w:t>
            </w:r>
            <w:proofErr w:type="spellEnd"/>
            <w:r>
              <w:rPr>
                <w:sz w:val="22"/>
                <w:szCs w:val="22"/>
              </w:rPr>
              <w:t xml:space="preserve"> для кількісного визначення загального 25-гідроксивітаміну D ІІІ, 100 тестів, для </w:t>
            </w:r>
            <w:proofErr w:type="spellStart"/>
            <w:r>
              <w:rPr>
                <w:sz w:val="22"/>
                <w:szCs w:val="22"/>
              </w:rPr>
              <w:t>cobas</w:t>
            </w:r>
            <w:proofErr w:type="spellEnd"/>
            <w:r>
              <w:rPr>
                <w:sz w:val="22"/>
                <w:szCs w:val="22"/>
              </w:rPr>
              <w:t xml:space="preserve"> e 411/601/602</w:t>
            </w:r>
          </w:p>
        </w:tc>
        <w:tc>
          <w:tcPr>
            <w:tcW w:w="760" w:type="dxa"/>
            <w:shd w:val="clear" w:color="auto" w:fill="auto"/>
            <w:noWrap/>
            <w:vAlign w:val="center"/>
          </w:tcPr>
          <w:p w14:paraId="61BC2607" w14:textId="4255F11A" w:rsidR="00052808" w:rsidRPr="005E71B3" w:rsidRDefault="00052808" w:rsidP="00052808">
            <w:pPr>
              <w:jc w:val="center"/>
            </w:pPr>
            <w:proofErr w:type="spellStart"/>
            <w:r>
              <w:rPr>
                <w:sz w:val="22"/>
                <w:szCs w:val="22"/>
              </w:rPr>
              <w:t>шт</w:t>
            </w:r>
            <w:proofErr w:type="spellEnd"/>
          </w:p>
        </w:tc>
        <w:tc>
          <w:tcPr>
            <w:tcW w:w="709" w:type="dxa"/>
            <w:shd w:val="clear" w:color="auto" w:fill="auto"/>
            <w:noWrap/>
            <w:vAlign w:val="center"/>
          </w:tcPr>
          <w:p w14:paraId="0A0BCBEA" w14:textId="43926254" w:rsidR="00052808" w:rsidRPr="005E71B3" w:rsidRDefault="00052808" w:rsidP="00052808">
            <w:pPr>
              <w:jc w:val="center"/>
            </w:pPr>
            <w:r>
              <w:rPr>
                <w:sz w:val="22"/>
                <w:szCs w:val="22"/>
              </w:rPr>
              <w:t>5</w:t>
            </w:r>
          </w:p>
        </w:tc>
        <w:tc>
          <w:tcPr>
            <w:tcW w:w="1676" w:type="dxa"/>
            <w:shd w:val="clear" w:color="auto" w:fill="auto"/>
          </w:tcPr>
          <w:p w14:paraId="019A7CAB" w14:textId="7073BBE3" w:rsidR="00052808" w:rsidRPr="00E23D28" w:rsidRDefault="00052808" w:rsidP="00052808">
            <w:r w:rsidRPr="008F4662">
              <w:t>33690000-3 Лікарські засоби різні</w:t>
            </w:r>
          </w:p>
        </w:tc>
        <w:tc>
          <w:tcPr>
            <w:tcW w:w="4047" w:type="dxa"/>
            <w:shd w:val="clear" w:color="auto" w:fill="auto"/>
            <w:vAlign w:val="center"/>
          </w:tcPr>
          <w:p w14:paraId="1EAD697D" w14:textId="595986F5" w:rsidR="00052808" w:rsidRPr="00A469E7" w:rsidRDefault="00052808" w:rsidP="00052808">
            <w:r>
              <w:rPr>
                <w:sz w:val="22"/>
                <w:szCs w:val="22"/>
              </w:rPr>
              <w:t xml:space="preserve">60922 Численні форми 25-гідроксивітаміну D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xml:space="preserve">), набір, </w:t>
            </w:r>
            <w:proofErr w:type="spellStart"/>
            <w:r>
              <w:rPr>
                <w:sz w:val="22"/>
                <w:szCs w:val="22"/>
              </w:rPr>
              <w:t>імунохемілюмінесцентний</w:t>
            </w:r>
            <w:proofErr w:type="spellEnd"/>
            <w:r>
              <w:rPr>
                <w:sz w:val="22"/>
                <w:szCs w:val="22"/>
              </w:rPr>
              <w:t xml:space="preserve"> аналіз</w:t>
            </w:r>
          </w:p>
        </w:tc>
      </w:tr>
      <w:tr w:rsidR="00052808" w14:paraId="26258683" w14:textId="77777777" w:rsidTr="00C90D7B">
        <w:trPr>
          <w:trHeight w:val="930"/>
        </w:trPr>
        <w:tc>
          <w:tcPr>
            <w:tcW w:w="468" w:type="dxa"/>
            <w:shd w:val="clear" w:color="auto" w:fill="auto"/>
          </w:tcPr>
          <w:p w14:paraId="298D0163" w14:textId="4FDA7128" w:rsidR="00052808" w:rsidRDefault="00052808" w:rsidP="00052808">
            <w:pPr>
              <w:jc w:val="center"/>
              <w:rPr>
                <w:sz w:val="20"/>
                <w:szCs w:val="20"/>
              </w:rPr>
            </w:pPr>
            <w:r w:rsidRPr="00DB1C81">
              <w:t>10</w:t>
            </w:r>
          </w:p>
        </w:tc>
        <w:tc>
          <w:tcPr>
            <w:tcW w:w="3342" w:type="dxa"/>
            <w:shd w:val="clear" w:color="auto" w:fill="auto"/>
            <w:vAlign w:val="center"/>
          </w:tcPr>
          <w:p w14:paraId="217B05C3" w14:textId="7AB97A47" w:rsidR="00052808" w:rsidRPr="001F5544" w:rsidRDefault="00052808" w:rsidP="00052808">
            <w:r>
              <w:rPr>
                <w:sz w:val="22"/>
                <w:szCs w:val="22"/>
              </w:rPr>
              <w:t>Набір для калібрування тесту для кількісного визначення загального 25-гідроксивітаміну D ІІІ, 2 × 2 × 1 мл (</w:t>
            </w:r>
            <w:proofErr w:type="spellStart"/>
            <w:r>
              <w:rPr>
                <w:sz w:val="22"/>
                <w:szCs w:val="22"/>
              </w:rPr>
              <w:t>mL</w:t>
            </w:r>
            <w:proofErr w:type="spellEnd"/>
            <w:r>
              <w:rPr>
                <w:sz w:val="22"/>
                <w:szCs w:val="22"/>
              </w:rPr>
              <w:t xml:space="preserve">), для </w:t>
            </w:r>
            <w:proofErr w:type="spellStart"/>
            <w:r>
              <w:rPr>
                <w:sz w:val="22"/>
                <w:szCs w:val="22"/>
              </w:rPr>
              <w:t>cobas</w:t>
            </w:r>
            <w:proofErr w:type="spellEnd"/>
            <w:r>
              <w:rPr>
                <w:sz w:val="22"/>
                <w:szCs w:val="22"/>
              </w:rPr>
              <w:t xml:space="preserve"> e</w:t>
            </w:r>
          </w:p>
        </w:tc>
        <w:tc>
          <w:tcPr>
            <w:tcW w:w="760" w:type="dxa"/>
            <w:shd w:val="clear" w:color="auto" w:fill="auto"/>
            <w:noWrap/>
            <w:vAlign w:val="center"/>
          </w:tcPr>
          <w:p w14:paraId="0798D8AB" w14:textId="41F97410" w:rsidR="00052808" w:rsidRPr="00C26DD3" w:rsidRDefault="00052808" w:rsidP="00052808">
            <w:pPr>
              <w:jc w:val="center"/>
            </w:pPr>
            <w:r>
              <w:rPr>
                <w:sz w:val="22"/>
                <w:szCs w:val="22"/>
              </w:rPr>
              <w:t>набір</w:t>
            </w:r>
          </w:p>
        </w:tc>
        <w:tc>
          <w:tcPr>
            <w:tcW w:w="709" w:type="dxa"/>
            <w:shd w:val="clear" w:color="auto" w:fill="auto"/>
            <w:noWrap/>
            <w:vAlign w:val="center"/>
          </w:tcPr>
          <w:p w14:paraId="0DBCCEE6" w14:textId="3459488F" w:rsidR="00052808" w:rsidRPr="00C26DD3" w:rsidRDefault="00052808" w:rsidP="00052808">
            <w:pPr>
              <w:jc w:val="center"/>
            </w:pPr>
            <w:r>
              <w:rPr>
                <w:sz w:val="22"/>
                <w:szCs w:val="22"/>
              </w:rPr>
              <w:t>2</w:t>
            </w:r>
          </w:p>
        </w:tc>
        <w:tc>
          <w:tcPr>
            <w:tcW w:w="1676" w:type="dxa"/>
            <w:shd w:val="clear" w:color="auto" w:fill="auto"/>
          </w:tcPr>
          <w:p w14:paraId="1F59F891" w14:textId="22FBDF97" w:rsidR="00052808" w:rsidRPr="00800E5E" w:rsidRDefault="00052808" w:rsidP="00052808">
            <w:r w:rsidRPr="008F4662">
              <w:t>33690000-3 Лікарські засоби різні</w:t>
            </w:r>
          </w:p>
        </w:tc>
        <w:tc>
          <w:tcPr>
            <w:tcW w:w="4047" w:type="dxa"/>
            <w:shd w:val="clear" w:color="auto" w:fill="auto"/>
            <w:vAlign w:val="center"/>
          </w:tcPr>
          <w:p w14:paraId="59A19031" w14:textId="12958152" w:rsidR="00052808" w:rsidRPr="00782E79" w:rsidRDefault="00052808" w:rsidP="00052808">
            <w:r>
              <w:rPr>
                <w:sz w:val="22"/>
                <w:szCs w:val="22"/>
              </w:rPr>
              <w:t xml:space="preserve">54474 Множинна форма 25-гідроксивітаміну D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xml:space="preserve">), </w:t>
            </w:r>
            <w:proofErr w:type="spellStart"/>
            <w:r>
              <w:rPr>
                <w:sz w:val="22"/>
                <w:szCs w:val="22"/>
              </w:rPr>
              <w:t>калібратор</w:t>
            </w:r>
            <w:proofErr w:type="spellEnd"/>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4A090C99" w14:textId="77777777" w:rsidR="00782E79" w:rsidRDefault="00782E79" w:rsidP="00782E79">
      <w:pPr>
        <w:spacing w:line="288" w:lineRule="auto"/>
        <w:jc w:val="center"/>
        <w:rPr>
          <w:b/>
          <w:sz w:val="26"/>
          <w:szCs w:val="26"/>
        </w:rPr>
      </w:pPr>
      <w:r>
        <w:rPr>
          <w:b/>
          <w:sz w:val="26"/>
          <w:szCs w:val="26"/>
        </w:rPr>
        <w:t xml:space="preserve">Медико-технічні вимоги на закупівлю реагентів та витратних матеріалів до </w:t>
      </w:r>
      <w:r>
        <w:rPr>
          <w:b/>
          <w:i/>
          <w:sz w:val="26"/>
          <w:szCs w:val="26"/>
        </w:rPr>
        <w:t xml:space="preserve">аналізаторів </w:t>
      </w:r>
      <w:proofErr w:type="spellStart"/>
      <w:r>
        <w:rPr>
          <w:b/>
          <w:i/>
          <w:sz w:val="26"/>
          <w:szCs w:val="26"/>
        </w:rPr>
        <w:t>Cobas</w:t>
      </w:r>
      <w:proofErr w:type="spellEnd"/>
      <w:r>
        <w:rPr>
          <w:b/>
          <w:i/>
          <w:sz w:val="26"/>
          <w:szCs w:val="26"/>
        </w:rPr>
        <w:t xml:space="preserve"> 6000 та </w:t>
      </w:r>
      <w:proofErr w:type="spellStart"/>
      <w:r w:rsidRPr="000B2E45">
        <w:rPr>
          <w:b/>
          <w:i/>
          <w:sz w:val="26"/>
          <w:szCs w:val="26"/>
        </w:rPr>
        <w:t>Cobas</w:t>
      </w:r>
      <w:proofErr w:type="spellEnd"/>
      <w:r w:rsidRPr="000B2E45">
        <w:rPr>
          <w:b/>
          <w:i/>
          <w:sz w:val="26"/>
          <w:szCs w:val="26"/>
        </w:rPr>
        <w:t xml:space="preserve"> с311</w:t>
      </w:r>
      <w:r>
        <w:rPr>
          <w:b/>
          <w:i/>
          <w:sz w:val="26"/>
          <w:szCs w:val="26"/>
        </w:rPr>
        <w:t xml:space="preserve"> </w:t>
      </w:r>
    </w:p>
    <w:p w14:paraId="58352CC9" w14:textId="77777777" w:rsidR="00782E79" w:rsidRDefault="00782E79" w:rsidP="00782E79">
      <w:pPr>
        <w:spacing w:line="288" w:lineRule="auto"/>
        <w:jc w:val="center"/>
        <w:rPr>
          <w:b/>
          <w:sz w:val="26"/>
          <w:szCs w:val="26"/>
        </w:rPr>
      </w:pPr>
      <w:r>
        <w:rPr>
          <w:b/>
          <w:sz w:val="26"/>
          <w:szCs w:val="26"/>
        </w:rPr>
        <w:t xml:space="preserve">для Українського </w:t>
      </w:r>
      <w:proofErr w:type="spellStart"/>
      <w:r>
        <w:rPr>
          <w:b/>
          <w:sz w:val="26"/>
          <w:szCs w:val="26"/>
        </w:rPr>
        <w:t>Референс</w:t>
      </w:r>
      <w:proofErr w:type="spellEnd"/>
      <w:r>
        <w:rPr>
          <w:b/>
          <w:sz w:val="26"/>
          <w:szCs w:val="26"/>
        </w:rPr>
        <w:t>-центру з клінічної лабораторної діагностики та метрології  НДП НДСЛ "ОХМАТДИТ" МОЗ України на 2026 рік.</w:t>
      </w:r>
    </w:p>
    <w:p w14:paraId="0B0407BE" w14:textId="77777777" w:rsidR="00782E79" w:rsidRDefault="00782E79" w:rsidP="00782E79">
      <w:pPr>
        <w:spacing w:line="288" w:lineRule="auto"/>
        <w:jc w:val="center"/>
        <w:rPr>
          <w:b/>
          <w:sz w:val="26"/>
          <w:szCs w:val="26"/>
        </w:rPr>
      </w:pPr>
    </w:p>
    <w:p w14:paraId="34A9CD01" w14:textId="77777777" w:rsidR="00782E79" w:rsidRDefault="00782E79" w:rsidP="00782E79">
      <w:pPr>
        <w:spacing w:line="288" w:lineRule="auto"/>
        <w:ind w:firstLine="357"/>
        <w:rPr>
          <w:sz w:val="26"/>
          <w:szCs w:val="26"/>
        </w:rPr>
      </w:pPr>
      <w:r>
        <w:rPr>
          <w:b/>
          <w:sz w:val="26"/>
          <w:szCs w:val="26"/>
          <w:u w:val="single"/>
        </w:rPr>
        <w:t>Загальні вимоги :</w:t>
      </w:r>
    </w:p>
    <w:p w14:paraId="712A760D" w14:textId="77777777" w:rsidR="00782E79" w:rsidRDefault="00782E79" w:rsidP="00782E79">
      <w:pPr>
        <w:spacing w:line="264" w:lineRule="auto"/>
        <w:ind w:firstLine="357"/>
        <w:jc w:val="both"/>
        <w:rPr>
          <w:sz w:val="26"/>
          <w:szCs w:val="26"/>
        </w:rPr>
      </w:pPr>
      <w:r>
        <w:rPr>
          <w:sz w:val="26"/>
          <w:szCs w:val="26"/>
        </w:rPr>
        <w:t>Вся лабораторна продукція, що представлена на торги повинна:</w:t>
      </w:r>
    </w:p>
    <w:p w14:paraId="04FFD700" w14:textId="77777777" w:rsidR="00782E79" w:rsidRDefault="00782E79" w:rsidP="00782E79">
      <w:pPr>
        <w:spacing w:line="264" w:lineRule="auto"/>
        <w:ind w:firstLine="357"/>
        <w:jc w:val="both"/>
        <w:rPr>
          <w:sz w:val="26"/>
          <w:szCs w:val="26"/>
        </w:rPr>
      </w:pPr>
      <w:r>
        <w:rPr>
          <w:sz w:val="26"/>
          <w:szCs w:val="26"/>
        </w:rPr>
        <w:t>1. Бути зареєстрованою в Україні або мати декларацію про відповідність та відповідати вимогам чинного законодавства щодо їх виробництва.</w:t>
      </w:r>
    </w:p>
    <w:p w14:paraId="65E7BB4B" w14:textId="77777777" w:rsidR="00782E79" w:rsidRDefault="00782E79" w:rsidP="00782E79">
      <w:pPr>
        <w:spacing w:line="264" w:lineRule="auto"/>
        <w:ind w:firstLine="357"/>
        <w:jc w:val="both"/>
        <w:rPr>
          <w:sz w:val="26"/>
          <w:szCs w:val="26"/>
        </w:rPr>
      </w:pPr>
      <w:r>
        <w:rPr>
          <w:sz w:val="26"/>
          <w:szCs w:val="26"/>
        </w:rPr>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0609111A" w14:textId="77777777" w:rsidR="00782E79" w:rsidRDefault="00782E79" w:rsidP="00782E79">
      <w:pPr>
        <w:spacing w:line="264" w:lineRule="auto"/>
        <w:ind w:firstLine="357"/>
        <w:jc w:val="both"/>
        <w:rPr>
          <w:sz w:val="26"/>
          <w:szCs w:val="26"/>
        </w:rPr>
      </w:pPr>
      <w:r>
        <w:rPr>
          <w:sz w:val="26"/>
          <w:szCs w:val="26"/>
        </w:rPr>
        <w:t>3. Бути адаптованою до відповідного аналізатору, що заявлений в лоті.</w:t>
      </w:r>
    </w:p>
    <w:p w14:paraId="24E1D8A8" w14:textId="77777777" w:rsidR="00782E79" w:rsidRDefault="00782E79" w:rsidP="00782E79">
      <w:pPr>
        <w:spacing w:line="264" w:lineRule="auto"/>
        <w:ind w:firstLine="357"/>
        <w:jc w:val="both"/>
        <w:rPr>
          <w:sz w:val="26"/>
          <w:szCs w:val="26"/>
        </w:rPr>
      </w:pPr>
      <w:r>
        <w:rPr>
          <w:sz w:val="26"/>
          <w:szCs w:val="26"/>
        </w:rPr>
        <w:t>4. Мати зазначену на упаковці дату виробництва та термін придатності.</w:t>
      </w:r>
    </w:p>
    <w:p w14:paraId="07416014" w14:textId="77777777" w:rsidR="00782E79" w:rsidRDefault="00782E79" w:rsidP="00782E79">
      <w:pPr>
        <w:spacing w:line="264" w:lineRule="auto"/>
        <w:ind w:firstLine="357"/>
        <w:jc w:val="both"/>
        <w:rPr>
          <w:sz w:val="26"/>
          <w:szCs w:val="26"/>
        </w:rPr>
      </w:pPr>
      <w:r>
        <w:rPr>
          <w:sz w:val="26"/>
          <w:szCs w:val="26"/>
        </w:rPr>
        <w:t>5.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720F97D5" w14:textId="77777777" w:rsidR="00782E79" w:rsidRDefault="00782E79" w:rsidP="00782E79">
      <w:pPr>
        <w:spacing w:line="264" w:lineRule="auto"/>
        <w:ind w:firstLine="357"/>
        <w:jc w:val="both"/>
        <w:rPr>
          <w:sz w:val="26"/>
          <w:szCs w:val="26"/>
        </w:rPr>
      </w:pPr>
      <w:r>
        <w:rPr>
          <w:sz w:val="26"/>
          <w:szCs w:val="26"/>
        </w:rPr>
        <w:t>6. Постачатись не пізніше 30 днів з моменту подання заявки (перевага надається фірмам, що мають склади в Києві та гарантують термінову поставку).</w:t>
      </w:r>
    </w:p>
    <w:p w14:paraId="5B40CBE6" w14:textId="77777777" w:rsidR="00782E79" w:rsidRDefault="00782E79" w:rsidP="00782E79">
      <w:pPr>
        <w:spacing w:line="264" w:lineRule="auto"/>
        <w:ind w:firstLine="357"/>
        <w:jc w:val="both"/>
        <w:rPr>
          <w:sz w:val="26"/>
          <w:szCs w:val="26"/>
        </w:rPr>
      </w:pPr>
      <w:r>
        <w:rPr>
          <w:sz w:val="26"/>
          <w:szCs w:val="26"/>
        </w:rPr>
        <w:t>7.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5FDB2AC4" w14:textId="77777777" w:rsidR="00782E79" w:rsidRDefault="00782E79" w:rsidP="00782E79">
      <w:pPr>
        <w:spacing w:line="264" w:lineRule="auto"/>
        <w:ind w:firstLine="357"/>
        <w:jc w:val="both"/>
        <w:rPr>
          <w:sz w:val="26"/>
          <w:szCs w:val="26"/>
        </w:rPr>
      </w:pPr>
      <w:r>
        <w:rPr>
          <w:sz w:val="26"/>
          <w:szCs w:val="26"/>
        </w:rPr>
        <w:t>8. Мати термін придатності на момент поставки не менше 80 % від передбаченого.</w:t>
      </w:r>
    </w:p>
    <w:p w14:paraId="760496D6" w14:textId="77777777" w:rsidR="00782E79" w:rsidRDefault="00782E79" w:rsidP="00782E79">
      <w:pPr>
        <w:spacing w:line="264" w:lineRule="auto"/>
        <w:ind w:firstLine="357"/>
        <w:jc w:val="both"/>
        <w:rPr>
          <w:b/>
          <w:sz w:val="26"/>
          <w:szCs w:val="26"/>
          <w:u w:val="single"/>
        </w:rPr>
      </w:pPr>
      <w:r>
        <w:rPr>
          <w:sz w:val="26"/>
          <w:szCs w:val="26"/>
        </w:rPr>
        <w:t>9. Зберігатися та транспортуватися з дотриманням встановлених вимог до кожної позиції.</w:t>
      </w:r>
    </w:p>
    <w:p w14:paraId="291B96B1" w14:textId="77777777" w:rsidR="00782E79" w:rsidRDefault="00782E79" w:rsidP="00782E79">
      <w:pPr>
        <w:spacing w:line="264" w:lineRule="auto"/>
        <w:ind w:firstLine="357"/>
        <w:jc w:val="both"/>
        <w:rPr>
          <w:b/>
          <w:sz w:val="26"/>
          <w:szCs w:val="26"/>
          <w:u w:val="single"/>
        </w:rPr>
      </w:pPr>
      <w:r>
        <w:rPr>
          <w:b/>
          <w:sz w:val="26"/>
          <w:szCs w:val="26"/>
          <w:u w:val="single"/>
        </w:rPr>
        <w:t>Вимоги до реагентів :</w:t>
      </w:r>
    </w:p>
    <w:p w14:paraId="2270BD06" w14:textId="77777777" w:rsidR="00782E79" w:rsidRDefault="00782E79" w:rsidP="00782E79">
      <w:pPr>
        <w:spacing w:line="264" w:lineRule="auto"/>
        <w:ind w:firstLine="357"/>
        <w:jc w:val="both"/>
        <w:rPr>
          <w:sz w:val="26"/>
          <w:szCs w:val="26"/>
        </w:rPr>
      </w:pPr>
      <w:r>
        <w:rPr>
          <w:b/>
          <w:sz w:val="26"/>
          <w:szCs w:val="26"/>
          <w:u w:val="single"/>
        </w:rPr>
        <w:t>Загальні:</w:t>
      </w:r>
    </w:p>
    <w:p w14:paraId="5A1055E9" w14:textId="77777777" w:rsidR="00782E79" w:rsidRDefault="00782E79" w:rsidP="00782E79">
      <w:pPr>
        <w:spacing w:line="264" w:lineRule="auto"/>
        <w:ind w:firstLine="357"/>
        <w:jc w:val="both"/>
        <w:rPr>
          <w:sz w:val="26"/>
          <w:szCs w:val="26"/>
        </w:rPr>
      </w:pPr>
      <w:r>
        <w:rPr>
          <w:sz w:val="26"/>
          <w:szCs w:val="26"/>
        </w:rPr>
        <w:t>1. До набору реагентів по визначенню кожного показника повинні входити всі необхідні реактиви відповідно до методики проведення аналізу.</w:t>
      </w:r>
    </w:p>
    <w:p w14:paraId="3FBCB777" w14:textId="77777777" w:rsidR="00782E79" w:rsidRDefault="00782E79" w:rsidP="00782E79">
      <w:pPr>
        <w:spacing w:line="264" w:lineRule="auto"/>
        <w:ind w:firstLine="357"/>
        <w:jc w:val="both"/>
        <w:rPr>
          <w:sz w:val="26"/>
          <w:szCs w:val="26"/>
        </w:rPr>
      </w:pPr>
      <w:r>
        <w:rPr>
          <w:sz w:val="26"/>
          <w:szCs w:val="26"/>
        </w:rPr>
        <w:t>2. Реактиви повинні мати зручну форму для використання з мінімальним етапом підготовки, повну комплектацію та неушкоджену упаковку.</w:t>
      </w:r>
    </w:p>
    <w:p w14:paraId="45D738AE" w14:textId="77777777" w:rsidR="00782E79" w:rsidRDefault="00782E79" w:rsidP="00782E79">
      <w:pPr>
        <w:spacing w:line="264" w:lineRule="auto"/>
        <w:ind w:firstLine="357"/>
        <w:jc w:val="both"/>
        <w:rPr>
          <w:sz w:val="26"/>
          <w:szCs w:val="26"/>
        </w:rPr>
      </w:pPr>
      <w:r>
        <w:rPr>
          <w:sz w:val="26"/>
          <w:szCs w:val="26"/>
        </w:rPr>
        <w:lastRenderedPageBreak/>
        <w:t>3. При наявності браку реагентів або витратного матеріалу Продавець повинен гарантувати безкоштовну заміну товару не пізніше 30 днів.</w:t>
      </w:r>
    </w:p>
    <w:p w14:paraId="6CA64CFD" w14:textId="77777777" w:rsidR="00782E79" w:rsidRDefault="00782E79" w:rsidP="00782E79">
      <w:pPr>
        <w:spacing w:line="264" w:lineRule="auto"/>
        <w:ind w:firstLine="357"/>
        <w:jc w:val="both"/>
        <w:rPr>
          <w:sz w:val="26"/>
          <w:szCs w:val="26"/>
        </w:rPr>
      </w:pPr>
      <w:r>
        <w:rPr>
          <w:sz w:val="26"/>
          <w:szCs w:val="26"/>
        </w:rPr>
        <w:t>4. До реагентів повинна додаватись детальна інструкція українською та англійською мовами (у випадку закордонного виробника).</w:t>
      </w:r>
    </w:p>
    <w:p w14:paraId="42E487B0" w14:textId="77777777" w:rsidR="00782E79" w:rsidRDefault="00782E79" w:rsidP="00782E79">
      <w:pPr>
        <w:spacing w:line="264" w:lineRule="auto"/>
        <w:ind w:firstLine="357"/>
        <w:jc w:val="both"/>
        <w:rPr>
          <w:sz w:val="26"/>
          <w:szCs w:val="26"/>
        </w:rPr>
      </w:pPr>
      <w:r>
        <w:rPr>
          <w:sz w:val="26"/>
          <w:szCs w:val="26"/>
        </w:rPr>
        <w:t xml:space="preserve">5. Концентрація </w:t>
      </w:r>
      <w:proofErr w:type="spellStart"/>
      <w:r>
        <w:rPr>
          <w:sz w:val="26"/>
          <w:szCs w:val="26"/>
        </w:rPr>
        <w:t>аналіту</w:t>
      </w:r>
      <w:proofErr w:type="spellEnd"/>
      <w:r>
        <w:rPr>
          <w:sz w:val="26"/>
          <w:szCs w:val="26"/>
        </w:rPr>
        <w:t xml:space="preserve"> в стандартах, </w:t>
      </w:r>
      <w:proofErr w:type="spellStart"/>
      <w:r>
        <w:rPr>
          <w:sz w:val="26"/>
          <w:szCs w:val="26"/>
        </w:rPr>
        <w:t>калібраторах</w:t>
      </w:r>
      <w:proofErr w:type="spellEnd"/>
      <w:r>
        <w:rPr>
          <w:sz w:val="26"/>
          <w:szCs w:val="26"/>
        </w:rPr>
        <w:t xml:space="preserve"> та контролях має гарантовано відповідати, вказаній у паспорті і на упаковці та бути стабільною протягом терміну, встановленому для кожної позиції.</w:t>
      </w:r>
    </w:p>
    <w:p w14:paraId="5436357E" w14:textId="77777777" w:rsidR="00782E79" w:rsidRDefault="00782E79" w:rsidP="00782E79">
      <w:pPr>
        <w:spacing w:line="264" w:lineRule="auto"/>
        <w:ind w:firstLine="357"/>
        <w:jc w:val="both"/>
        <w:rPr>
          <w:sz w:val="26"/>
          <w:szCs w:val="26"/>
        </w:rPr>
      </w:pPr>
      <w:r>
        <w:rPr>
          <w:sz w:val="26"/>
          <w:szCs w:val="26"/>
        </w:rPr>
        <w:t>6. Контрольний матеріал має бути адаптованим до приладів та тест-систем, що використовуються в лабораторії та мати відповідне підтвердження в паспорті до контрольного матеріалу або в листі від фірми-постачальника.</w:t>
      </w:r>
    </w:p>
    <w:p w14:paraId="3EAEF259" w14:textId="77777777" w:rsidR="00782E79" w:rsidRDefault="00782E79" w:rsidP="00782E79">
      <w:pPr>
        <w:spacing w:line="264" w:lineRule="auto"/>
        <w:ind w:firstLine="357"/>
        <w:jc w:val="both"/>
        <w:rPr>
          <w:b/>
          <w:bCs/>
          <w:sz w:val="26"/>
          <w:szCs w:val="26"/>
        </w:rPr>
      </w:pPr>
      <w:r>
        <w:rPr>
          <w:sz w:val="26"/>
          <w:szCs w:val="26"/>
        </w:rPr>
        <w:t>7.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4ED6C1CC" w14:textId="77777777" w:rsidR="000D77BB" w:rsidRPr="00782E79" w:rsidRDefault="000D77BB" w:rsidP="000D77BB">
      <w:pPr>
        <w:spacing w:line="264" w:lineRule="auto"/>
        <w:ind w:firstLine="357"/>
        <w:jc w:val="both"/>
        <w:rPr>
          <w:b/>
          <w:bCs/>
          <w:sz w:val="32"/>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0F1D6830" w:rsidR="00153A4D" w:rsidRPr="00782E79" w:rsidRDefault="00DB08EC" w:rsidP="00CE318B">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1" w:name="n36"/>
      <w:bookmarkStart w:id="2" w:name="n1149"/>
      <w:bookmarkEnd w:id="1"/>
      <w:bookmarkEnd w:id="2"/>
      <w:r w:rsidR="00153A4D" w:rsidRPr="00DB08EC">
        <w:rPr>
          <w:color w:val="000000"/>
        </w:rPr>
        <w:t xml:space="preserve"> склад</w:t>
      </w:r>
      <w:bookmarkStart w:id="3" w:name="_Hlk189123241"/>
      <w:r w:rsidR="00153A4D" w:rsidRPr="00DB08EC">
        <w:rPr>
          <w:color w:val="000000"/>
        </w:rPr>
        <w:t>ає</w:t>
      </w:r>
      <w:r w:rsidR="00153A4D">
        <w:rPr>
          <w:color w:val="000000"/>
        </w:rPr>
        <w:t xml:space="preserve">: </w:t>
      </w:r>
      <w:r w:rsidR="00052808" w:rsidRPr="00052808">
        <w:rPr>
          <w:color w:val="000000"/>
        </w:rPr>
        <w:t>358</w:t>
      </w:r>
      <w:r w:rsidR="00052808">
        <w:rPr>
          <w:color w:val="000000"/>
        </w:rPr>
        <w:t> </w:t>
      </w:r>
      <w:r w:rsidR="00052808" w:rsidRPr="00052808">
        <w:rPr>
          <w:color w:val="000000"/>
        </w:rPr>
        <w:t>149,58</w:t>
      </w:r>
      <w:r w:rsidR="00153A4D" w:rsidRPr="00032B14">
        <w:rPr>
          <w:color w:val="000000"/>
        </w:rPr>
        <w:t xml:space="preserve"> </w:t>
      </w:r>
      <w:r w:rsidR="00153A4D">
        <w:rPr>
          <w:color w:val="000000"/>
        </w:rPr>
        <w:t>грн (</w:t>
      </w:r>
      <w:r w:rsidR="00052808">
        <w:rPr>
          <w:color w:val="000000"/>
          <w:lang w:val="ru-RU"/>
        </w:rPr>
        <w:t>т</w:t>
      </w:r>
      <w:proofErr w:type="spellStart"/>
      <w:r w:rsidR="00052808" w:rsidRPr="00052808">
        <w:rPr>
          <w:color w:val="000000"/>
        </w:rPr>
        <w:t>риста</w:t>
      </w:r>
      <w:proofErr w:type="spellEnd"/>
      <w:r w:rsidR="00052808" w:rsidRPr="00052808">
        <w:rPr>
          <w:color w:val="000000"/>
        </w:rPr>
        <w:t xml:space="preserve"> п'ятдесят вісім тисяч сто сорок дев'ять гривень 58 копійок</w:t>
      </w:r>
      <w:r w:rsidR="00153A4D">
        <w:rPr>
          <w:color w:val="000000"/>
        </w:rPr>
        <w:t xml:space="preserve">) </w:t>
      </w:r>
      <w:r w:rsidR="00153A4D" w:rsidRPr="00E63FC3">
        <w:rPr>
          <w:color w:val="000000"/>
        </w:rPr>
        <w:t>з ПДВ</w:t>
      </w:r>
      <w:r w:rsidR="00153A4D">
        <w:rPr>
          <w:color w:val="000000"/>
        </w:rPr>
        <w:t xml:space="preserve">; </w:t>
      </w:r>
    </w:p>
    <w:bookmarkEnd w:id="3"/>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bookmarkStart w:id="4" w:name="_GoBack"/>
      <w:bookmarkEnd w:id="4"/>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68"/>
        </w:tabs>
        <w:ind w:left="785"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5"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9"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0"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3"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6"/>
  </w:num>
  <w:num w:numId="4">
    <w:abstractNumId w:val="9"/>
  </w:num>
  <w:num w:numId="5">
    <w:abstractNumId w:val="12"/>
  </w:num>
  <w:num w:numId="6">
    <w:abstractNumId w:val="14"/>
  </w:num>
  <w:num w:numId="7">
    <w:abstractNumId w:val="10"/>
  </w:num>
  <w:num w:numId="8">
    <w:abstractNumId w:val="5"/>
  </w:num>
  <w:num w:numId="9">
    <w:abstractNumId w:val="15"/>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2"/>
  </w:num>
  <w:num w:numId="1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4346F"/>
    <w:rsid w:val="00052808"/>
    <w:rsid w:val="000539F9"/>
    <w:rsid w:val="00061BC2"/>
    <w:rsid w:val="00067397"/>
    <w:rsid w:val="000803F3"/>
    <w:rsid w:val="000D77BB"/>
    <w:rsid w:val="000E7329"/>
    <w:rsid w:val="00122D50"/>
    <w:rsid w:val="00153A4D"/>
    <w:rsid w:val="001F36E4"/>
    <w:rsid w:val="00221664"/>
    <w:rsid w:val="00293C3D"/>
    <w:rsid w:val="002A270A"/>
    <w:rsid w:val="002C0EF4"/>
    <w:rsid w:val="002D2FFD"/>
    <w:rsid w:val="002E61D3"/>
    <w:rsid w:val="00303542"/>
    <w:rsid w:val="00304EA4"/>
    <w:rsid w:val="00312AE5"/>
    <w:rsid w:val="003247E4"/>
    <w:rsid w:val="00343E0D"/>
    <w:rsid w:val="00371AF5"/>
    <w:rsid w:val="0039040B"/>
    <w:rsid w:val="003D027E"/>
    <w:rsid w:val="003E0B13"/>
    <w:rsid w:val="003E1C77"/>
    <w:rsid w:val="003F08E8"/>
    <w:rsid w:val="003F29C6"/>
    <w:rsid w:val="00416597"/>
    <w:rsid w:val="004432B0"/>
    <w:rsid w:val="00493A71"/>
    <w:rsid w:val="004C00B2"/>
    <w:rsid w:val="004C4509"/>
    <w:rsid w:val="004E3803"/>
    <w:rsid w:val="0052468D"/>
    <w:rsid w:val="00577FCD"/>
    <w:rsid w:val="005B2B42"/>
    <w:rsid w:val="005B3B58"/>
    <w:rsid w:val="005C22AE"/>
    <w:rsid w:val="005E71B3"/>
    <w:rsid w:val="005E77A2"/>
    <w:rsid w:val="005F5AA5"/>
    <w:rsid w:val="00613F0A"/>
    <w:rsid w:val="00677D49"/>
    <w:rsid w:val="006D1FA5"/>
    <w:rsid w:val="007018F6"/>
    <w:rsid w:val="00765CDB"/>
    <w:rsid w:val="00782E79"/>
    <w:rsid w:val="00785DFB"/>
    <w:rsid w:val="007B270E"/>
    <w:rsid w:val="007E3784"/>
    <w:rsid w:val="00813661"/>
    <w:rsid w:val="008304E5"/>
    <w:rsid w:val="00884943"/>
    <w:rsid w:val="008874B2"/>
    <w:rsid w:val="008D3936"/>
    <w:rsid w:val="008E1B80"/>
    <w:rsid w:val="00922F04"/>
    <w:rsid w:val="00930A00"/>
    <w:rsid w:val="009570AE"/>
    <w:rsid w:val="00965B84"/>
    <w:rsid w:val="00981353"/>
    <w:rsid w:val="00984C0B"/>
    <w:rsid w:val="009F1E67"/>
    <w:rsid w:val="00A029A4"/>
    <w:rsid w:val="00A053B7"/>
    <w:rsid w:val="00A469E7"/>
    <w:rsid w:val="00A57A4B"/>
    <w:rsid w:val="00A63421"/>
    <w:rsid w:val="00A94428"/>
    <w:rsid w:val="00AB71C4"/>
    <w:rsid w:val="00AC2EE3"/>
    <w:rsid w:val="00AC6A2A"/>
    <w:rsid w:val="00AD2904"/>
    <w:rsid w:val="00AE19AF"/>
    <w:rsid w:val="00B36CE4"/>
    <w:rsid w:val="00B41697"/>
    <w:rsid w:val="00BA46E9"/>
    <w:rsid w:val="00BE178A"/>
    <w:rsid w:val="00C20D96"/>
    <w:rsid w:val="00C40464"/>
    <w:rsid w:val="00C56739"/>
    <w:rsid w:val="00C86040"/>
    <w:rsid w:val="00C95EAE"/>
    <w:rsid w:val="00C97895"/>
    <w:rsid w:val="00CA7EE5"/>
    <w:rsid w:val="00CC136D"/>
    <w:rsid w:val="00CD2FE3"/>
    <w:rsid w:val="00CE064B"/>
    <w:rsid w:val="00CE318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A0140"/>
    <w:rsid w:val="00EC5E50"/>
    <w:rsid w:val="00ED30A3"/>
    <w:rsid w:val="00ED42E0"/>
    <w:rsid w:val="00EE2441"/>
    <w:rsid w:val="00EF5D4D"/>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3</Pages>
  <Words>4664</Words>
  <Characters>2660</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81</cp:revision>
  <cp:lastPrinted>2025-01-20T07:48:00Z</cp:lastPrinted>
  <dcterms:created xsi:type="dcterms:W3CDTF">2025-01-30T07:30:00Z</dcterms:created>
  <dcterms:modified xsi:type="dcterms:W3CDTF">2026-03-12T09:57:00Z</dcterms:modified>
</cp:coreProperties>
</file>