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265F5CB3" w:rsidR="00E018E9" w:rsidRPr="00CA7EE5" w:rsidRDefault="00E018E9" w:rsidP="00F84350">
      <w:pPr>
        <w:pStyle w:val="rvps2"/>
        <w:shd w:val="clear" w:color="auto" w:fill="FFFFFF"/>
        <w:jc w:val="both"/>
        <w:textAlignment w:val="baseline"/>
        <w:rPr>
          <w:b/>
          <w:lang w:val="ru-RU"/>
        </w:rPr>
      </w:pPr>
      <w:r w:rsidRPr="00F121ED">
        <w:t xml:space="preserve"> </w:t>
      </w:r>
      <w:r w:rsidRPr="00F121ED">
        <w:rPr>
          <w:lang w:bidi="uk-UA"/>
        </w:rPr>
        <w:t xml:space="preserve"> </w:t>
      </w:r>
      <w:r w:rsidR="00CA7EE5" w:rsidRPr="00CA7EE5">
        <w:rPr>
          <w:b/>
          <w:color w:val="000000"/>
        </w:rPr>
        <w:t xml:space="preserve">Реагенти для лабораторії медичної генетики відділ тканинного </w:t>
      </w:r>
      <w:proofErr w:type="spellStart"/>
      <w:r w:rsidR="00CA7EE5" w:rsidRPr="00CA7EE5">
        <w:rPr>
          <w:b/>
          <w:color w:val="000000"/>
        </w:rPr>
        <w:t>типування</w:t>
      </w:r>
      <w:proofErr w:type="spellEnd"/>
      <w:r w:rsidR="00CA7EE5" w:rsidRPr="00CA7EE5">
        <w:rPr>
          <w:b/>
          <w:color w:val="000000"/>
        </w:rPr>
        <w:t xml:space="preserve">: 1. Набір  для </w:t>
      </w:r>
      <w:proofErr w:type="spellStart"/>
      <w:r w:rsidR="00CA7EE5" w:rsidRPr="00CA7EE5">
        <w:rPr>
          <w:b/>
          <w:color w:val="000000"/>
        </w:rPr>
        <w:t>типування</w:t>
      </w:r>
      <w:proofErr w:type="spellEnd"/>
      <w:r w:rsidR="00CA7EE5" w:rsidRPr="00CA7EE5">
        <w:rPr>
          <w:b/>
          <w:color w:val="000000"/>
        </w:rPr>
        <w:t xml:space="preserve"> </w:t>
      </w:r>
      <w:proofErr w:type="spellStart"/>
      <w:r w:rsidR="00CA7EE5" w:rsidRPr="00CA7EE5">
        <w:rPr>
          <w:b/>
          <w:color w:val="000000"/>
        </w:rPr>
        <w:t>LABType</w:t>
      </w:r>
      <w:proofErr w:type="spellEnd"/>
      <w:r w:rsidR="00CA7EE5" w:rsidRPr="00CA7EE5">
        <w:rPr>
          <w:b/>
          <w:color w:val="000000"/>
        </w:rPr>
        <w:t xml:space="preserve"> CWD </w:t>
      </w:r>
      <w:proofErr w:type="spellStart"/>
      <w:r w:rsidR="00CA7EE5" w:rsidRPr="00CA7EE5">
        <w:rPr>
          <w:b/>
          <w:color w:val="000000"/>
        </w:rPr>
        <w:t>Class</w:t>
      </w:r>
      <w:proofErr w:type="spellEnd"/>
      <w:r w:rsidR="00CA7EE5" w:rsidRPr="00CA7EE5">
        <w:rPr>
          <w:b/>
          <w:color w:val="000000"/>
        </w:rPr>
        <w:t xml:space="preserve"> I A </w:t>
      </w:r>
      <w:proofErr w:type="spellStart"/>
      <w:r w:rsidR="00CA7EE5" w:rsidRPr="00CA7EE5">
        <w:rPr>
          <w:b/>
          <w:color w:val="000000"/>
        </w:rPr>
        <w:t>Locus</w:t>
      </w:r>
      <w:proofErr w:type="spellEnd"/>
      <w:r w:rsidR="00CA7EE5" w:rsidRPr="00CA7EE5">
        <w:rPr>
          <w:b/>
          <w:color w:val="000000"/>
        </w:rPr>
        <w:t xml:space="preserve">, або еквівалент; 2. Набір  для </w:t>
      </w:r>
      <w:proofErr w:type="spellStart"/>
      <w:r w:rsidR="00CA7EE5" w:rsidRPr="00CA7EE5">
        <w:rPr>
          <w:b/>
          <w:color w:val="000000"/>
        </w:rPr>
        <w:t>типування</w:t>
      </w:r>
      <w:proofErr w:type="spellEnd"/>
      <w:r w:rsidR="00CA7EE5" w:rsidRPr="00CA7EE5">
        <w:rPr>
          <w:b/>
          <w:color w:val="000000"/>
        </w:rPr>
        <w:t xml:space="preserve"> </w:t>
      </w:r>
      <w:proofErr w:type="spellStart"/>
      <w:r w:rsidR="00CA7EE5" w:rsidRPr="00CA7EE5">
        <w:rPr>
          <w:b/>
          <w:color w:val="000000"/>
        </w:rPr>
        <w:t>LABType</w:t>
      </w:r>
      <w:proofErr w:type="spellEnd"/>
      <w:r w:rsidR="00CA7EE5" w:rsidRPr="00CA7EE5">
        <w:rPr>
          <w:b/>
          <w:color w:val="000000"/>
        </w:rPr>
        <w:t xml:space="preserve"> CWD </w:t>
      </w:r>
      <w:proofErr w:type="spellStart"/>
      <w:r w:rsidR="00CA7EE5" w:rsidRPr="00CA7EE5">
        <w:rPr>
          <w:b/>
          <w:color w:val="000000"/>
        </w:rPr>
        <w:t>Class</w:t>
      </w:r>
      <w:proofErr w:type="spellEnd"/>
      <w:r w:rsidR="00CA7EE5" w:rsidRPr="00CA7EE5">
        <w:rPr>
          <w:b/>
          <w:color w:val="000000"/>
        </w:rPr>
        <w:t xml:space="preserve"> I B </w:t>
      </w:r>
      <w:proofErr w:type="spellStart"/>
      <w:r w:rsidR="00CA7EE5" w:rsidRPr="00CA7EE5">
        <w:rPr>
          <w:b/>
          <w:color w:val="000000"/>
        </w:rPr>
        <w:t>Locus</w:t>
      </w:r>
      <w:proofErr w:type="spellEnd"/>
      <w:r w:rsidR="00CA7EE5" w:rsidRPr="00CA7EE5">
        <w:rPr>
          <w:b/>
          <w:color w:val="000000"/>
        </w:rPr>
        <w:t xml:space="preserve">, або еквівалент; 3. Набір  для </w:t>
      </w:r>
      <w:proofErr w:type="spellStart"/>
      <w:r w:rsidR="00CA7EE5" w:rsidRPr="00CA7EE5">
        <w:rPr>
          <w:b/>
          <w:color w:val="000000"/>
        </w:rPr>
        <w:t>типування</w:t>
      </w:r>
      <w:proofErr w:type="spellEnd"/>
      <w:r w:rsidR="00CA7EE5" w:rsidRPr="00CA7EE5">
        <w:rPr>
          <w:b/>
          <w:color w:val="000000"/>
        </w:rPr>
        <w:t xml:space="preserve"> </w:t>
      </w:r>
      <w:proofErr w:type="spellStart"/>
      <w:r w:rsidR="00CA7EE5" w:rsidRPr="00CA7EE5">
        <w:rPr>
          <w:b/>
          <w:color w:val="000000"/>
        </w:rPr>
        <w:t>LABType</w:t>
      </w:r>
      <w:proofErr w:type="spellEnd"/>
      <w:r w:rsidR="00CA7EE5" w:rsidRPr="00CA7EE5">
        <w:rPr>
          <w:b/>
          <w:color w:val="000000"/>
        </w:rPr>
        <w:t xml:space="preserve"> CWD </w:t>
      </w:r>
      <w:proofErr w:type="spellStart"/>
      <w:r w:rsidR="00CA7EE5" w:rsidRPr="00CA7EE5">
        <w:rPr>
          <w:b/>
          <w:color w:val="000000"/>
        </w:rPr>
        <w:t>Class</w:t>
      </w:r>
      <w:proofErr w:type="spellEnd"/>
      <w:r w:rsidR="00CA7EE5" w:rsidRPr="00CA7EE5">
        <w:rPr>
          <w:b/>
          <w:color w:val="000000"/>
        </w:rPr>
        <w:t xml:space="preserve"> I C </w:t>
      </w:r>
      <w:proofErr w:type="spellStart"/>
      <w:r w:rsidR="00CA7EE5" w:rsidRPr="00CA7EE5">
        <w:rPr>
          <w:b/>
          <w:color w:val="000000"/>
        </w:rPr>
        <w:t>Locus</w:t>
      </w:r>
      <w:proofErr w:type="spellEnd"/>
      <w:r w:rsidR="00CA7EE5" w:rsidRPr="00CA7EE5">
        <w:rPr>
          <w:b/>
          <w:color w:val="000000"/>
        </w:rPr>
        <w:t xml:space="preserve">, або еквівалент; 4. Набір для </w:t>
      </w:r>
      <w:proofErr w:type="spellStart"/>
      <w:r w:rsidR="00CA7EE5" w:rsidRPr="00CA7EE5">
        <w:rPr>
          <w:b/>
          <w:color w:val="000000"/>
        </w:rPr>
        <w:t>типування</w:t>
      </w:r>
      <w:proofErr w:type="spellEnd"/>
      <w:r w:rsidR="00CA7EE5" w:rsidRPr="00CA7EE5">
        <w:rPr>
          <w:b/>
          <w:color w:val="000000"/>
        </w:rPr>
        <w:t xml:space="preserve"> </w:t>
      </w:r>
      <w:proofErr w:type="spellStart"/>
      <w:r w:rsidR="00CA7EE5" w:rsidRPr="00CA7EE5">
        <w:rPr>
          <w:b/>
          <w:color w:val="000000"/>
        </w:rPr>
        <w:t>LABType</w:t>
      </w:r>
      <w:proofErr w:type="spellEnd"/>
      <w:r w:rsidR="00CA7EE5" w:rsidRPr="00CA7EE5">
        <w:rPr>
          <w:b/>
          <w:color w:val="000000"/>
        </w:rPr>
        <w:t xml:space="preserve"> CWD </w:t>
      </w:r>
      <w:proofErr w:type="spellStart"/>
      <w:r w:rsidR="00CA7EE5" w:rsidRPr="00CA7EE5">
        <w:rPr>
          <w:b/>
          <w:color w:val="000000"/>
        </w:rPr>
        <w:t>Class</w:t>
      </w:r>
      <w:proofErr w:type="spellEnd"/>
      <w:r w:rsidR="00CA7EE5" w:rsidRPr="00CA7EE5">
        <w:rPr>
          <w:b/>
          <w:color w:val="000000"/>
        </w:rPr>
        <w:t xml:space="preserve"> II DRB1 </w:t>
      </w:r>
      <w:proofErr w:type="spellStart"/>
      <w:r w:rsidR="00CA7EE5" w:rsidRPr="00CA7EE5">
        <w:rPr>
          <w:b/>
          <w:color w:val="000000"/>
        </w:rPr>
        <w:t>Locus</w:t>
      </w:r>
      <w:proofErr w:type="spellEnd"/>
      <w:r w:rsidR="00CA7EE5" w:rsidRPr="00CA7EE5">
        <w:rPr>
          <w:b/>
          <w:color w:val="000000"/>
        </w:rPr>
        <w:t xml:space="preserve">, або еквівалент; 5. Набір  для </w:t>
      </w:r>
      <w:proofErr w:type="spellStart"/>
      <w:r w:rsidR="00CA7EE5" w:rsidRPr="00CA7EE5">
        <w:rPr>
          <w:b/>
          <w:color w:val="000000"/>
        </w:rPr>
        <w:t>типування</w:t>
      </w:r>
      <w:proofErr w:type="spellEnd"/>
      <w:r w:rsidR="00CA7EE5" w:rsidRPr="00CA7EE5">
        <w:rPr>
          <w:b/>
          <w:color w:val="000000"/>
        </w:rPr>
        <w:t xml:space="preserve"> </w:t>
      </w:r>
      <w:proofErr w:type="spellStart"/>
      <w:r w:rsidR="00CA7EE5" w:rsidRPr="00CA7EE5">
        <w:rPr>
          <w:b/>
          <w:color w:val="000000"/>
        </w:rPr>
        <w:t>LABType</w:t>
      </w:r>
      <w:proofErr w:type="spellEnd"/>
      <w:r w:rsidR="00CA7EE5" w:rsidRPr="00CA7EE5">
        <w:rPr>
          <w:b/>
          <w:color w:val="000000"/>
        </w:rPr>
        <w:t xml:space="preserve"> SSO </w:t>
      </w:r>
      <w:proofErr w:type="spellStart"/>
      <w:r w:rsidR="00CA7EE5" w:rsidRPr="00CA7EE5">
        <w:rPr>
          <w:b/>
          <w:color w:val="000000"/>
        </w:rPr>
        <w:t>Class</w:t>
      </w:r>
      <w:proofErr w:type="spellEnd"/>
      <w:r w:rsidR="00CA7EE5" w:rsidRPr="00CA7EE5">
        <w:rPr>
          <w:b/>
          <w:color w:val="000000"/>
        </w:rPr>
        <w:t xml:space="preserve"> II DQA1/DQB1 </w:t>
      </w:r>
      <w:proofErr w:type="spellStart"/>
      <w:r w:rsidR="00CA7EE5" w:rsidRPr="00CA7EE5">
        <w:rPr>
          <w:b/>
          <w:color w:val="000000"/>
        </w:rPr>
        <w:t>Locus</w:t>
      </w:r>
      <w:proofErr w:type="spellEnd"/>
      <w:r w:rsidR="00CA7EE5" w:rsidRPr="00CA7EE5">
        <w:rPr>
          <w:b/>
          <w:color w:val="000000"/>
        </w:rPr>
        <w:t xml:space="preserve">, або еквівалент; 6. Набір </w:t>
      </w:r>
      <w:proofErr w:type="spellStart"/>
      <w:r w:rsidR="00CA7EE5" w:rsidRPr="00CA7EE5">
        <w:rPr>
          <w:b/>
          <w:color w:val="000000"/>
        </w:rPr>
        <w:t>AllType</w:t>
      </w:r>
      <w:proofErr w:type="spellEnd"/>
      <w:r w:rsidR="00CA7EE5" w:rsidRPr="00CA7EE5">
        <w:rPr>
          <w:b/>
          <w:color w:val="000000"/>
        </w:rPr>
        <w:t xml:space="preserve"> </w:t>
      </w:r>
      <w:proofErr w:type="spellStart"/>
      <w:r w:rsidR="00CA7EE5" w:rsidRPr="00CA7EE5">
        <w:rPr>
          <w:b/>
          <w:color w:val="000000"/>
        </w:rPr>
        <w:t>FASTplex</w:t>
      </w:r>
      <w:proofErr w:type="spellEnd"/>
      <w:r w:rsidR="00CA7EE5" w:rsidRPr="00CA7EE5">
        <w:rPr>
          <w:b/>
          <w:color w:val="000000"/>
        </w:rPr>
        <w:t xml:space="preserve"> NGS 11 </w:t>
      </w:r>
      <w:proofErr w:type="spellStart"/>
      <w:r w:rsidR="00CA7EE5" w:rsidRPr="00CA7EE5">
        <w:rPr>
          <w:b/>
          <w:color w:val="000000"/>
        </w:rPr>
        <w:t>Loci</w:t>
      </w:r>
      <w:proofErr w:type="spellEnd"/>
      <w:r w:rsidR="00CA7EE5" w:rsidRPr="00CA7EE5">
        <w:rPr>
          <w:b/>
          <w:color w:val="000000"/>
        </w:rPr>
        <w:t xml:space="preserve"> </w:t>
      </w:r>
      <w:proofErr w:type="spellStart"/>
      <w:r w:rsidR="00CA7EE5" w:rsidRPr="00CA7EE5">
        <w:rPr>
          <w:b/>
          <w:color w:val="000000"/>
        </w:rPr>
        <w:t>Kit</w:t>
      </w:r>
      <w:proofErr w:type="spellEnd"/>
      <w:r w:rsidR="00CA7EE5" w:rsidRPr="00CA7EE5">
        <w:rPr>
          <w:b/>
          <w:color w:val="000000"/>
        </w:rPr>
        <w:t xml:space="preserve">, або еквівалент; 7. Набір для </w:t>
      </w:r>
      <w:proofErr w:type="spellStart"/>
      <w:r w:rsidR="00CA7EE5" w:rsidRPr="00CA7EE5">
        <w:rPr>
          <w:b/>
          <w:color w:val="000000"/>
        </w:rPr>
        <w:t>типування</w:t>
      </w:r>
      <w:proofErr w:type="spellEnd"/>
      <w:r w:rsidR="00CA7EE5" w:rsidRPr="00CA7EE5">
        <w:rPr>
          <w:b/>
          <w:color w:val="000000"/>
        </w:rPr>
        <w:t xml:space="preserve"> HLA </w:t>
      </w:r>
      <w:proofErr w:type="spellStart"/>
      <w:r w:rsidR="00CA7EE5" w:rsidRPr="00CA7EE5">
        <w:rPr>
          <w:b/>
          <w:color w:val="000000"/>
        </w:rPr>
        <w:t>Class</w:t>
      </w:r>
      <w:proofErr w:type="spellEnd"/>
      <w:r w:rsidR="00CA7EE5" w:rsidRPr="00CA7EE5">
        <w:rPr>
          <w:b/>
          <w:color w:val="000000"/>
        </w:rPr>
        <w:t xml:space="preserve"> I; 8. Набір для </w:t>
      </w:r>
      <w:proofErr w:type="spellStart"/>
      <w:r w:rsidR="00CA7EE5" w:rsidRPr="00CA7EE5">
        <w:rPr>
          <w:b/>
          <w:color w:val="000000"/>
        </w:rPr>
        <w:t>типування</w:t>
      </w:r>
      <w:proofErr w:type="spellEnd"/>
      <w:r w:rsidR="00CA7EE5" w:rsidRPr="00CA7EE5">
        <w:rPr>
          <w:b/>
          <w:color w:val="000000"/>
        </w:rPr>
        <w:t xml:space="preserve"> HLA </w:t>
      </w:r>
      <w:proofErr w:type="spellStart"/>
      <w:r w:rsidR="00CA7EE5" w:rsidRPr="00CA7EE5">
        <w:rPr>
          <w:b/>
          <w:color w:val="000000"/>
        </w:rPr>
        <w:t>Class</w:t>
      </w:r>
      <w:proofErr w:type="spellEnd"/>
      <w:r w:rsidR="00CA7EE5" w:rsidRPr="00CA7EE5">
        <w:rPr>
          <w:b/>
          <w:color w:val="000000"/>
        </w:rPr>
        <w:t xml:space="preserve"> IІ DNA; 9. Набір  для </w:t>
      </w:r>
      <w:proofErr w:type="spellStart"/>
      <w:r w:rsidR="00CA7EE5" w:rsidRPr="00CA7EE5">
        <w:rPr>
          <w:b/>
          <w:color w:val="000000"/>
        </w:rPr>
        <w:t>типування</w:t>
      </w:r>
      <w:proofErr w:type="spellEnd"/>
      <w:r w:rsidR="00CA7EE5" w:rsidRPr="00CA7EE5">
        <w:rPr>
          <w:b/>
          <w:color w:val="000000"/>
        </w:rPr>
        <w:t xml:space="preserve"> HLA-ABCDRDQB1; або еквівалент - код ДК 021:2015 – 33690000-3 лікарські засоби різні.</w:t>
      </w:r>
    </w:p>
    <w:tbl>
      <w:tblPr>
        <w:tblW w:w="10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764"/>
        <w:gridCol w:w="801"/>
        <w:gridCol w:w="1117"/>
        <w:gridCol w:w="1676"/>
        <w:gridCol w:w="3687"/>
      </w:tblGrid>
      <w:tr w:rsidR="00122D50" w:rsidRPr="00D658D4" w14:paraId="268A28A3" w14:textId="77777777" w:rsidTr="00493A71">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2764"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0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1117"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687"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CA7EE5" w14:paraId="1C4677FA" w14:textId="77777777" w:rsidTr="00405E4B">
        <w:trPr>
          <w:trHeight w:val="930"/>
        </w:trPr>
        <w:tc>
          <w:tcPr>
            <w:tcW w:w="596" w:type="dxa"/>
            <w:shd w:val="clear" w:color="auto" w:fill="auto"/>
            <w:vAlign w:val="center"/>
          </w:tcPr>
          <w:p w14:paraId="2D9FF2A9" w14:textId="3C88D5F0" w:rsidR="00CA7EE5" w:rsidRDefault="00CA7EE5" w:rsidP="00CA7EE5">
            <w:pPr>
              <w:jc w:val="center"/>
              <w:rPr>
                <w:sz w:val="22"/>
                <w:szCs w:val="22"/>
              </w:rPr>
            </w:pPr>
            <w:r>
              <w:rPr>
                <w:color w:val="000000"/>
              </w:rPr>
              <w:t>1</w:t>
            </w:r>
          </w:p>
        </w:tc>
        <w:tc>
          <w:tcPr>
            <w:tcW w:w="2764" w:type="dxa"/>
            <w:shd w:val="clear" w:color="auto" w:fill="auto"/>
            <w:hideMark/>
          </w:tcPr>
          <w:p w14:paraId="6C2D131C" w14:textId="328B8849" w:rsidR="00CA7EE5" w:rsidRDefault="00CA7EE5" w:rsidP="00CA7EE5">
            <w:pPr>
              <w:rPr>
                <w:sz w:val="20"/>
                <w:szCs w:val="20"/>
              </w:rPr>
            </w:pPr>
            <w:r w:rsidRPr="00BD1936">
              <w:t xml:space="preserve">Набір  для </w:t>
            </w:r>
            <w:proofErr w:type="spellStart"/>
            <w:r w:rsidRPr="00BD1936">
              <w:t>типування</w:t>
            </w:r>
            <w:proofErr w:type="spellEnd"/>
            <w:r w:rsidRPr="00BD1936">
              <w:t xml:space="preserve"> </w:t>
            </w:r>
            <w:proofErr w:type="spellStart"/>
            <w:r w:rsidRPr="00BD1936">
              <w:t>LABType</w:t>
            </w:r>
            <w:proofErr w:type="spellEnd"/>
            <w:r w:rsidRPr="00BD1936">
              <w:t xml:space="preserve"> CWD </w:t>
            </w:r>
            <w:proofErr w:type="spellStart"/>
            <w:r w:rsidRPr="00BD1936">
              <w:t>Class</w:t>
            </w:r>
            <w:proofErr w:type="spellEnd"/>
            <w:r w:rsidRPr="00BD1936">
              <w:t xml:space="preserve"> I A </w:t>
            </w:r>
            <w:proofErr w:type="spellStart"/>
            <w:r w:rsidRPr="00BD1936">
              <w:t>Locus</w:t>
            </w:r>
            <w:proofErr w:type="spellEnd"/>
            <w:r w:rsidRPr="00BD1936">
              <w:t>, або еквівалент</w:t>
            </w:r>
          </w:p>
        </w:tc>
        <w:tc>
          <w:tcPr>
            <w:tcW w:w="801" w:type="dxa"/>
            <w:shd w:val="clear" w:color="auto" w:fill="auto"/>
            <w:noWrap/>
            <w:hideMark/>
          </w:tcPr>
          <w:p w14:paraId="18431196" w14:textId="1BA69318" w:rsidR="00CA7EE5" w:rsidRDefault="00CA7EE5" w:rsidP="00CA7EE5">
            <w:pPr>
              <w:jc w:val="center"/>
              <w:rPr>
                <w:sz w:val="22"/>
                <w:szCs w:val="22"/>
              </w:rPr>
            </w:pPr>
            <w:r w:rsidRPr="00651253">
              <w:t>набір</w:t>
            </w:r>
          </w:p>
        </w:tc>
        <w:tc>
          <w:tcPr>
            <w:tcW w:w="1117" w:type="dxa"/>
            <w:shd w:val="clear" w:color="auto" w:fill="auto"/>
            <w:noWrap/>
            <w:hideMark/>
          </w:tcPr>
          <w:p w14:paraId="60065712" w14:textId="39674D86" w:rsidR="00CA7EE5" w:rsidRDefault="00CA7EE5" w:rsidP="00CA7EE5">
            <w:pPr>
              <w:jc w:val="center"/>
              <w:rPr>
                <w:sz w:val="20"/>
                <w:szCs w:val="20"/>
              </w:rPr>
            </w:pPr>
            <w:r w:rsidRPr="00651253">
              <w:t>1</w:t>
            </w:r>
          </w:p>
        </w:tc>
        <w:tc>
          <w:tcPr>
            <w:tcW w:w="1676" w:type="dxa"/>
            <w:shd w:val="clear" w:color="auto" w:fill="auto"/>
            <w:hideMark/>
          </w:tcPr>
          <w:p w14:paraId="6E47347D" w14:textId="5305CBA2" w:rsidR="00CA7EE5" w:rsidRDefault="00CA7EE5" w:rsidP="00CA7EE5">
            <w:pPr>
              <w:rPr>
                <w:sz w:val="20"/>
                <w:szCs w:val="20"/>
              </w:rPr>
            </w:pPr>
            <w:r w:rsidRPr="00F84350">
              <w:t>33690000-3 Лікарські засоби різні</w:t>
            </w:r>
          </w:p>
        </w:tc>
        <w:tc>
          <w:tcPr>
            <w:tcW w:w="3687" w:type="dxa"/>
            <w:shd w:val="clear" w:color="auto" w:fill="auto"/>
            <w:hideMark/>
          </w:tcPr>
          <w:p w14:paraId="3CB58F47" w14:textId="53C8A725" w:rsidR="00CA7EE5" w:rsidRDefault="00CA7EE5" w:rsidP="00CA7EE5">
            <w:pPr>
              <w:rPr>
                <w:sz w:val="20"/>
                <w:szCs w:val="20"/>
              </w:rPr>
            </w:pPr>
            <w:r w:rsidRPr="00751531">
              <w:t>30607 - Набір для скринінгу антитіла до антигену лейкоцитів людини</w:t>
            </w:r>
          </w:p>
        </w:tc>
      </w:tr>
      <w:tr w:rsidR="00CA7EE5" w14:paraId="3DB5686D" w14:textId="77777777" w:rsidTr="00405E4B">
        <w:trPr>
          <w:trHeight w:val="930"/>
        </w:trPr>
        <w:tc>
          <w:tcPr>
            <w:tcW w:w="596" w:type="dxa"/>
            <w:shd w:val="clear" w:color="auto" w:fill="auto"/>
            <w:vAlign w:val="center"/>
          </w:tcPr>
          <w:p w14:paraId="21CC4DDC" w14:textId="68842CC8" w:rsidR="00CA7EE5" w:rsidRDefault="00CA7EE5" w:rsidP="00CA7EE5">
            <w:pPr>
              <w:jc w:val="center"/>
              <w:rPr>
                <w:sz w:val="20"/>
                <w:szCs w:val="20"/>
              </w:rPr>
            </w:pPr>
            <w:r>
              <w:rPr>
                <w:color w:val="000000"/>
              </w:rPr>
              <w:t>2</w:t>
            </w:r>
          </w:p>
        </w:tc>
        <w:tc>
          <w:tcPr>
            <w:tcW w:w="2764" w:type="dxa"/>
            <w:shd w:val="clear" w:color="auto" w:fill="auto"/>
          </w:tcPr>
          <w:p w14:paraId="35D3C60B" w14:textId="23BF7B78" w:rsidR="00CA7EE5" w:rsidRDefault="00CA7EE5" w:rsidP="00CA7EE5">
            <w:r w:rsidRPr="00BD1936">
              <w:t xml:space="preserve">Набір  для </w:t>
            </w:r>
            <w:proofErr w:type="spellStart"/>
            <w:r w:rsidRPr="00BD1936">
              <w:t>типування</w:t>
            </w:r>
            <w:proofErr w:type="spellEnd"/>
            <w:r w:rsidRPr="00BD1936">
              <w:t xml:space="preserve"> </w:t>
            </w:r>
            <w:proofErr w:type="spellStart"/>
            <w:r w:rsidRPr="00BD1936">
              <w:t>LABType</w:t>
            </w:r>
            <w:proofErr w:type="spellEnd"/>
            <w:r w:rsidRPr="00BD1936">
              <w:t xml:space="preserve"> CWD </w:t>
            </w:r>
            <w:proofErr w:type="spellStart"/>
            <w:r w:rsidRPr="00BD1936">
              <w:t>Class</w:t>
            </w:r>
            <w:proofErr w:type="spellEnd"/>
            <w:r w:rsidRPr="00BD1936">
              <w:t xml:space="preserve"> I B </w:t>
            </w:r>
            <w:proofErr w:type="spellStart"/>
            <w:r w:rsidRPr="00BD1936">
              <w:t>Locus</w:t>
            </w:r>
            <w:proofErr w:type="spellEnd"/>
            <w:r w:rsidRPr="00BD1936">
              <w:t>, або еквівалент</w:t>
            </w:r>
          </w:p>
        </w:tc>
        <w:tc>
          <w:tcPr>
            <w:tcW w:w="801" w:type="dxa"/>
            <w:shd w:val="clear" w:color="auto" w:fill="auto"/>
            <w:noWrap/>
          </w:tcPr>
          <w:p w14:paraId="186154A9" w14:textId="23D55A2E" w:rsidR="00CA7EE5" w:rsidRPr="00ED30A3" w:rsidRDefault="00CA7EE5" w:rsidP="00CA7EE5">
            <w:pPr>
              <w:jc w:val="center"/>
            </w:pPr>
            <w:r w:rsidRPr="00651253">
              <w:t>набір</w:t>
            </w:r>
          </w:p>
        </w:tc>
        <w:tc>
          <w:tcPr>
            <w:tcW w:w="1117" w:type="dxa"/>
            <w:shd w:val="clear" w:color="auto" w:fill="auto"/>
            <w:noWrap/>
          </w:tcPr>
          <w:p w14:paraId="68F9A7DE" w14:textId="25DA638F" w:rsidR="00CA7EE5" w:rsidRPr="00F84350" w:rsidRDefault="00CA7EE5" w:rsidP="00CA7EE5">
            <w:pPr>
              <w:jc w:val="center"/>
            </w:pPr>
            <w:r w:rsidRPr="00651253">
              <w:t>1</w:t>
            </w:r>
          </w:p>
        </w:tc>
        <w:tc>
          <w:tcPr>
            <w:tcW w:w="1676" w:type="dxa"/>
            <w:shd w:val="clear" w:color="auto" w:fill="auto"/>
          </w:tcPr>
          <w:p w14:paraId="4CA9CCA2" w14:textId="571C764E" w:rsidR="00CA7EE5" w:rsidRPr="00F84350" w:rsidRDefault="00CA7EE5" w:rsidP="00CA7EE5">
            <w:r w:rsidRPr="00E23D28">
              <w:t>33690000-3 Лікарські засоби різні</w:t>
            </w:r>
          </w:p>
        </w:tc>
        <w:tc>
          <w:tcPr>
            <w:tcW w:w="3687" w:type="dxa"/>
            <w:shd w:val="clear" w:color="auto" w:fill="auto"/>
          </w:tcPr>
          <w:p w14:paraId="291C4CA7" w14:textId="34352251" w:rsidR="00CA7EE5" w:rsidRPr="001A2236" w:rsidRDefault="00CA7EE5" w:rsidP="00CA7EE5">
            <w:r w:rsidRPr="00751531">
              <w:t>30607 - Набір для скринінгу антитіла до антигену лейкоцитів людини</w:t>
            </w:r>
          </w:p>
        </w:tc>
      </w:tr>
      <w:tr w:rsidR="00CA7EE5" w14:paraId="364AFF62" w14:textId="77777777" w:rsidTr="00405E4B">
        <w:trPr>
          <w:trHeight w:val="930"/>
        </w:trPr>
        <w:tc>
          <w:tcPr>
            <w:tcW w:w="596" w:type="dxa"/>
            <w:shd w:val="clear" w:color="auto" w:fill="auto"/>
            <w:vAlign w:val="center"/>
          </w:tcPr>
          <w:p w14:paraId="7077520B" w14:textId="31B6D145" w:rsidR="00CA7EE5" w:rsidRDefault="00CA7EE5" w:rsidP="00CA7EE5">
            <w:pPr>
              <w:jc w:val="center"/>
              <w:rPr>
                <w:sz w:val="20"/>
                <w:szCs w:val="20"/>
              </w:rPr>
            </w:pPr>
            <w:r>
              <w:rPr>
                <w:color w:val="000000"/>
              </w:rPr>
              <w:t>3</w:t>
            </w:r>
          </w:p>
        </w:tc>
        <w:tc>
          <w:tcPr>
            <w:tcW w:w="2764" w:type="dxa"/>
            <w:shd w:val="clear" w:color="auto" w:fill="auto"/>
          </w:tcPr>
          <w:p w14:paraId="2C937346" w14:textId="3A9FE452" w:rsidR="00CA7EE5" w:rsidRDefault="00CA7EE5" w:rsidP="00CA7EE5">
            <w:r w:rsidRPr="00BD1936">
              <w:t xml:space="preserve">Набір  для </w:t>
            </w:r>
            <w:proofErr w:type="spellStart"/>
            <w:r w:rsidRPr="00BD1936">
              <w:t>типування</w:t>
            </w:r>
            <w:proofErr w:type="spellEnd"/>
            <w:r w:rsidRPr="00BD1936">
              <w:t xml:space="preserve"> </w:t>
            </w:r>
            <w:proofErr w:type="spellStart"/>
            <w:r w:rsidRPr="00BD1936">
              <w:t>LABType</w:t>
            </w:r>
            <w:proofErr w:type="spellEnd"/>
            <w:r w:rsidRPr="00BD1936">
              <w:t xml:space="preserve"> CWD </w:t>
            </w:r>
            <w:proofErr w:type="spellStart"/>
            <w:r w:rsidRPr="00BD1936">
              <w:t>Class</w:t>
            </w:r>
            <w:proofErr w:type="spellEnd"/>
            <w:r w:rsidRPr="00BD1936">
              <w:t xml:space="preserve"> I C </w:t>
            </w:r>
            <w:proofErr w:type="spellStart"/>
            <w:r w:rsidRPr="00BD1936">
              <w:t>Locus</w:t>
            </w:r>
            <w:proofErr w:type="spellEnd"/>
            <w:r w:rsidRPr="00BD1936">
              <w:t>, або еквівалент</w:t>
            </w:r>
          </w:p>
        </w:tc>
        <w:tc>
          <w:tcPr>
            <w:tcW w:w="801" w:type="dxa"/>
            <w:shd w:val="clear" w:color="auto" w:fill="auto"/>
            <w:noWrap/>
          </w:tcPr>
          <w:p w14:paraId="2FBA00E6" w14:textId="5BFCF0F8" w:rsidR="00CA7EE5" w:rsidRPr="00ED30A3" w:rsidRDefault="00CA7EE5" w:rsidP="00CA7EE5">
            <w:pPr>
              <w:jc w:val="center"/>
            </w:pPr>
            <w:r w:rsidRPr="00651253">
              <w:t>набір</w:t>
            </w:r>
          </w:p>
        </w:tc>
        <w:tc>
          <w:tcPr>
            <w:tcW w:w="1117" w:type="dxa"/>
            <w:shd w:val="clear" w:color="auto" w:fill="auto"/>
            <w:noWrap/>
          </w:tcPr>
          <w:p w14:paraId="0DC14170" w14:textId="72A40651" w:rsidR="00CA7EE5" w:rsidRPr="00F84350" w:rsidRDefault="00CA7EE5" w:rsidP="00CA7EE5">
            <w:pPr>
              <w:jc w:val="center"/>
            </w:pPr>
            <w:r w:rsidRPr="00651253">
              <w:t>1</w:t>
            </w:r>
          </w:p>
        </w:tc>
        <w:tc>
          <w:tcPr>
            <w:tcW w:w="1676" w:type="dxa"/>
            <w:shd w:val="clear" w:color="auto" w:fill="auto"/>
          </w:tcPr>
          <w:p w14:paraId="49F81CE9" w14:textId="79F3786E" w:rsidR="00CA7EE5" w:rsidRPr="00F84350" w:rsidRDefault="00CA7EE5" w:rsidP="00CA7EE5">
            <w:r w:rsidRPr="00E23D28">
              <w:t>33690000-3 Лікарські засоби різні</w:t>
            </w:r>
          </w:p>
        </w:tc>
        <w:tc>
          <w:tcPr>
            <w:tcW w:w="3687" w:type="dxa"/>
            <w:shd w:val="clear" w:color="auto" w:fill="auto"/>
          </w:tcPr>
          <w:p w14:paraId="4E79EB76" w14:textId="3BB35E18" w:rsidR="00CA7EE5" w:rsidRPr="001A2236" w:rsidRDefault="00CA7EE5" w:rsidP="00CA7EE5">
            <w:r w:rsidRPr="00751531">
              <w:t>30607 - Набір для скринінгу антитіла до антигену лейкоцитів людини</w:t>
            </w:r>
          </w:p>
        </w:tc>
      </w:tr>
      <w:tr w:rsidR="00CA7EE5" w14:paraId="71105552" w14:textId="77777777" w:rsidTr="00405E4B">
        <w:trPr>
          <w:trHeight w:val="930"/>
        </w:trPr>
        <w:tc>
          <w:tcPr>
            <w:tcW w:w="596" w:type="dxa"/>
            <w:shd w:val="clear" w:color="auto" w:fill="auto"/>
            <w:vAlign w:val="center"/>
          </w:tcPr>
          <w:p w14:paraId="7634338E" w14:textId="4D870B06" w:rsidR="00CA7EE5" w:rsidRDefault="00CA7EE5" w:rsidP="00CA7EE5">
            <w:pPr>
              <w:jc w:val="center"/>
              <w:rPr>
                <w:sz w:val="20"/>
                <w:szCs w:val="20"/>
              </w:rPr>
            </w:pPr>
            <w:r>
              <w:rPr>
                <w:color w:val="000000"/>
              </w:rPr>
              <w:t>4</w:t>
            </w:r>
          </w:p>
        </w:tc>
        <w:tc>
          <w:tcPr>
            <w:tcW w:w="2764" w:type="dxa"/>
            <w:shd w:val="clear" w:color="auto" w:fill="auto"/>
          </w:tcPr>
          <w:p w14:paraId="4BAAD070" w14:textId="5A8AED5C" w:rsidR="00CA7EE5" w:rsidRDefault="00CA7EE5" w:rsidP="00CA7EE5">
            <w:r w:rsidRPr="00BD1936">
              <w:t xml:space="preserve">Набір для </w:t>
            </w:r>
            <w:proofErr w:type="spellStart"/>
            <w:r w:rsidRPr="00BD1936">
              <w:t>типування</w:t>
            </w:r>
            <w:proofErr w:type="spellEnd"/>
            <w:r w:rsidRPr="00BD1936">
              <w:t xml:space="preserve"> </w:t>
            </w:r>
            <w:proofErr w:type="spellStart"/>
            <w:r w:rsidRPr="00BD1936">
              <w:t>LABType</w:t>
            </w:r>
            <w:proofErr w:type="spellEnd"/>
            <w:r w:rsidRPr="00BD1936">
              <w:t xml:space="preserve"> CWD </w:t>
            </w:r>
            <w:proofErr w:type="spellStart"/>
            <w:r w:rsidRPr="00BD1936">
              <w:t>Class</w:t>
            </w:r>
            <w:proofErr w:type="spellEnd"/>
            <w:r w:rsidRPr="00BD1936">
              <w:t xml:space="preserve"> II DRB1 </w:t>
            </w:r>
            <w:proofErr w:type="spellStart"/>
            <w:r w:rsidRPr="00BD1936">
              <w:t>Locus</w:t>
            </w:r>
            <w:proofErr w:type="spellEnd"/>
            <w:r w:rsidRPr="00BD1936">
              <w:t>, або еквівалент</w:t>
            </w:r>
          </w:p>
        </w:tc>
        <w:tc>
          <w:tcPr>
            <w:tcW w:w="801" w:type="dxa"/>
            <w:shd w:val="clear" w:color="auto" w:fill="auto"/>
            <w:noWrap/>
          </w:tcPr>
          <w:p w14:paraId="730B2A48" w14:textId="425C2E7F" w:rsidR="00CA7EE5" w:rsidRPr="00ED30A3" w:rsidRDefault="00CA7EE5" w:rsidP="00CA7EE5">
            <w:pPr>
              <w:jc w:val="center"/>
            </w:pPr>
            <w:r w:rsidRPr="00651253">
              <w:t>набір</w:t>
            </w:r>
          </w:p>
        </w:tc>
        <w:tc>
          <w:tcPr>
            <w:tcW w:w="1117" w:type="dxa"/>
            <w:shd w:val="clear" w:color="auto" w:fill="auto"/>
            <w:noWrap/>
          </w:tcPr>
          <w:p w14:paraId="0E6204F2" w14:textId="2AA00DB6" w:rsidR="00CA7EE5" w:rsidRPr="00F84350" w:rsidRDefault="00CA7EE5" w:rsidP="00CA7EE5">
            <w:pPr>
              <w:jc w:val="center"/>
            </w:pPr>
            <w:r w:rsidRPr="00651253">
              <w:t>1</w:t>
            </w:r>
          </w:p>
        </w:tc>
        <w:tc>
          <w:tcPr>
            <w:tcW w:w="1676" w:type="dxa"/>
            <w:shd w:val="clear" w:color="auto" w:fill="auto"/>
          </w:tcPr>
          <w:p w14:paraId="616463E5" w14:textId="0C601BF6" w:rsidR="00CA7EE5" w:rsidRPr="00F84350" w:rsidRDefault="00CA7EE5" w:rsidP="00CA7EE5">
            <w:r w:rsidRPr="00E23D28">
              <w:t>33690000-3 Лікарські засоби різні</w:t>
            </w:r>
          </w:p>
        </w:tc>
        <w:tc>
          <w:tcPr>
            <w:tcW w:w="3687" w:type="dxa"/>
            <w:shd w:val="clear" w:color="auto" w:fill="auto"/>
          </w:tcPr>
          <w:p w14:paraId="635939EE" w14:textId="5039AC80" w:rsidR="00CA7EE5" w:rsidRPr="001A2236" w:rsidRDefault="00CA7EE5" w:rsidP="00CA7EE5">
            <w:r w:rsidRPr="00751531">
              <w:t>30607 - Набір для скринінгу антитіла до антигену лейкоцитів людини</w:t>
            </w:r>
          </w:p>
        </w:tc>
      </w:tr>
      <w:tr w:rsidR="00CA7EE5" w14:paraId="2F321C42" w14:textId="77777777" w:rsidTr="00405E4B">
        <w:trPr>
          <w:trHeight w:val="930"/>
        </w:trPr>
        <w:tc>
          <w:tcPr>
            <w:tcW w:w="596" w:type="dxa"/>
            <w:shd w:val="clear" w:color="auto" w:fill="auto"/>
            <w:vAlign w:val="center"/>
          </w:tcPr>
          <w:p w14:paraId="4CF2E55E" w14:textId="50BEBF8B" w:rsidR="00CA7EE5" w:rsidRDefault="00CA7EE5" w:rsidP="00CA7EE5">
            <w:pPr>
              <w:jc w:val="center"/>
              <w:rPr>
                <w:sz w:val="20"/>
                <w:szCs w:val="20"/>
              </w:rPr>
            </w:pPr>
            <w:r>
              <w:rPr>
                <w:color w:val="000000"/>
              </w:rPr>
              <w:t>5</w:t>
            </w:r>
          </w:p>
        </w:tc>
        <w:tc>
          <w:tcPr>
            <w:tcW w:w="2764" w:type="dxa"/>
            <w:shd w:val="clear" w:color="auto" w:fill="auto"/>
          </w:tcPr>
          <w:p w14:paraId="1D562CFA" w14:textId="673ED741" w:rsidR="00CA7EE5" w:rsidRDefault="00CA7EE5" w:rsidP="00CA7EE5">
            <w:r w:rsidRPr="00BD1936">
              <w:t xml:space="preserve">Набір  для </w:t>
            </w:r>
            <w:proofErr w:type="spellStart"/>
            <w:r w:rsidRPr="00BD1936">
              <w:t>типування</w:t>
            </w:r>
            <w:proofErr w:type="spellEnd"/>
            <w:r w:rsidRPr="00BD1936">
              <w:t xml:space="preserve"> </w:t>
            </w:r>
            <w:proofErr w:type="spellStart"/>
            <w:r w:rsidRPr="00BD1936">
              <w:t>LABType</w:t>
            </w:r>
            <w:proofErr w:type="spellEnd"/>
            <w:r w:rsidRPr="00BD1936">
              <w:t xml:space="preserve"> SSO </w:t>
            </w:r>
            <w:proofErr w:type="spellStart"/>
            <w:r w:rsidRPr="00BD1936">
              <w:t>Class</w:t>
            </w:r>
            <w:proofErr w:type="spellEnd"/>
            <w:r w:rsidRPr="00BD1936">
              <w:t xml:space="preserve"> II DQA1/DQB1 </w:t>
            </w:r>
            <w:proofErr w:type="spellStart"/>
            <w:r w:rsidRPr="00BD1936">
              <w:t>Locus</w:t>
            </w:r>
            <w:proofErr w:type="spellEnd"/>
            <w:r w:rsidRPr="00BD1936">
              <w:t>, або еквівалент</w:t>
            </w:r>
          </w:p>
        </w:tc>
        <w:tc>
          <w:tcPr>
            <w:tcW w:w="801" w:type="dxa"/>
            <w:shd w:val="clear" w:color="auto" w:fill="auto"/>
            <w:noWrap/>
          </w:tcPr>
          <w:p w14:paraId="0E0846E5" w14:textId="3E9CC377" w:rsidR="00CA7EE5" w:rsidRPr="00ED30A3" w:rsidRDefault="00CA7EE5" w:rsidP="00CA7EE5">
            <w:pPr>
              <w:jc w:val="center"/>
            </w:pPr>
            <w:r w:rsidRPr="00651253">
              <w:t>набір</w:t>
            </w:r>
          </w:p>
        </w:tc>
        <w:tc>
          <w:tcPr>
            <w:tcW w:w="1117" w:type="dxa"/>
            <w:shd w:val="clear" w:color="auto" w:fill="auto"/>
            <w:noWrap/>
          </w:tcPr>
          <w:p w14:paraId="6E946B06" w14:textId="649199D7" w:rsidR="00CA7EE5" w:rsidRPr="00F84350" w:rsidRDefault="00CA7EE5" w:rsidP="00CA7EE5">
            <w:pPr>
              <w:jc w:val="center"/>
            </w:pPr>
            <w:r w:rsidRPr="00651253">
              <w:t>1</w:t>
            </w:r>
          </w:p>
        </w:tc>
        <w:tc>
          <w:tcPr>
            <w:tcW w:w="1676" w:type="dxa"/>
            <w:shd w:val="clear" w:color="auto" w:fill="auto"/>
          </w:tcPr>
          <w:p w14:paraId="4EDAA8FC" w14:textId="5E1D538E" w:rsidR="00CA7EE5" w:rsidRPr="00F84350" w:rsidRDefault="00CA7EE5" w:rsidP="00CA7EE5">
            <w:r w:rsidRPr="00E23D28">
              <w:t>33690000-3 Лікарські засоби різні</w:t>
            </w:r>
          </w:p>
        </w:tc>
        <w:tc>
          <w:tcPr>
            <w:tcW w:w="3687" w:type="dxa"/>
            <w:shd w:val="clear" w:color="auto" w:fill="auto"/>
          </w:tcPr>
          <w:p w14:paraId="3591A34A" w14:textId="1AC0DFD5" w:rsidR="00CA7EE5" w:rsidRPr="001A2236" w:rsidRDefault="00CA7EE5" w:rsidP="00CA7EE5">
            <w:r w:rsidRPr="00751531">
              <w:t>30607 - Набір для скринінгу антитіла до антигену лейкоцитів людини</w:t>
            </w:r>
          </w:p>
        </w:tc>
      </w:tr>
      <w:tr w:rsidR="00CA7EE5" w14:paraId="54712D59" w14:textId="77777777" w:rsidTr="00405E4B">
        <w:trPr>
          <w:trHeight w:val="930"/>
        </w:trPr>
        <w:tc>
          <w:tcPr>
            <w:tcW w:w="596" w:type="dxa"/>
            <w:shd w:val="clear" w:color="auto" w:fill="auto"/>
            <w:vAlign w:val="center"/>
          </w:tcPr>
          <w:p w14:paraId="3072E9AB" w14:textId="40C71395" w:rsidR="00CA7EE5" w:rsidRDefault="00CA7EE5" w:rsidP="00CA7EE5">
            <w:pPr>
              <w:jc w:val="center"/>
              <w:rPr>
                <w:sz w:val="20"/>
                <w:szCs w:val="20"/>
              </w:rPr>
            </w:pPr>
            <w:r>
              <w:rPr>
                <w:color w:val="000000"/>
              </w:rPr>
              <w:t>6</w:t>
            </w:r>
          </w:p>
        </w:tc>
        <w:tc>
          <w:tcPr>
            <w:tcW w:w="2764" w:type="dxa"/>
            <w:shd w:val="clear" w:color="auto" w:fill="auto"/>
          </w:tcPr>
          <w:p w14:paraId="437B08DB" w14:textId="2DA05D5A" w:rsidR="00CA7EE5" w:rsidRDefault="00CA7EE5" w:rsidP="00CA7EE5">
            <w:r w:rsidRPr="00BD1936">
              <w:t xml:space="preserve">Набір </w:t>
            </w:r>
            <w:proofErr w:type="spellStart"/>
            <w:r w:rsidRPr="00BD1936">
              <w:t>AllType</w:t>
            </w:r>
            <w:proofErr w:type="spellEnd"/>
            <w:r w:rsidRPr="00BD1936">
              <w:t xml:space="preserve"> </w:t>
            </w:r>
            <w:proofErr w:type="spellStart"/>
            <w:r w:rsidRPr="00BD1936">
              <w:t>FASTplex</w:t>
            </w:r>
            <w:proofErr w:type="spellEnd"/>
            <w:r w:rsidRPr="00BD1936">
              <w:t xml:space="preserve"> NGS 11 </w:t>
            </w:r>
            <w:proofErr w:type="spellStart"/>
            <w:r w:rsidRPr="00BD1936">
              <w:t>Loci</w:t>
            </w:r>
            <w:proofErr w:type="spellEnd"/>
            <w:r w:rsidRPr="00BD1936">
              <w:t xml:space="preserve"> </w:t>
            </w:r>
            <w:proofErr w:type="spellStart"/>
            <w:r w:rsidRPr="00BD1936">
              <w:t>Kit</w:t>
            </w:r>
            <w:proofErr w:type="spellEnd"/>
            <w:r w:rsidRPr="00BD1936">
              <w:t>, або еквівалент</w:t>
            </w:r>
          </w:p>
        </w:tc>
        <w:tc>
          <w:tcPr>
            <w:tcW w:w="801" w:type="dxa"/>
            <w:shd w:val="clear" w:color="auto" w:fill="auto"/>
            <w:noWrap/>
          </w:tcPr>
          <w:p w14:paraId="620F9B30" w14:textId="483C6DFD" w:rsidR="00CA7EE5" w:rsidRPr="00ED30A3" w:rsidRDefault="00CA7EE5" w:rsidP="00CA7EE5">
            <w:pPr>
              <w:jc w:val="center"/>
            </w:pPr>
            <w:r w:rsidRPr="00651253">
              <w:t>набір</w:t>
            </w:r>
          </w:p>
        </w:tc>
        <w:tc>
          <w:tcPr>
            <w:tcW w:w="1117" w:type="dxa"/>
            <w:shd w:val="clear" w:color="auto" w:fill="auto"/>
            <w:noWrap/>
          </w:tcPr>
          <w:p w14:paraId="0BC17448" w14:textId="2CBEE031" w:rsidR="00CA7EE5" w:rsidRPr="00F84350" w:rsidRDefault="00CA7EE5" w:rsidP="00CA7EE5">
            <w:pPr>
              <w:jc w:val="center"/>
            </w:pPr>
            <w:r w:rsidRPr="00651253">
              <w:t>1</w:t>
            </w:r>
          </w:p>
        </w:tc>
        <w:tc>
          <w:tcPr>
            <w:tcW w:w="1676" w:type="dxa"/>
            <w:shd w:val="clear" w:color="auto" w:fill="auto"/>
          </w:tcPr>
          <w:p w14:paraId="17969A97" w14:textId="261B485A" w:rsidR="00CA7EE5" w:rsidRPr="00F84350" w:rsidRDefault="00CA7EE5" w:rsidP="00CA7EE5">
            <w:r w:rsidRPr="00E23D28">
              <w:t>33690000-3 Лікарські засоби різні</w:t>
            </w:r>
          </w:p>
        </w:tc>
        <w:tc>
          <w:tcPr>
            <w:tcW w:w="3687" w:type="dxa"/>
            <w:shd w:val="clear" w:color="auto" w:fill="auto"/>
          </w:tcPr>
          <w:p w14:paraId="07B561AF" w14:textId="6527AF58" w:rsidR="00CA7EE5" w:rsidRPr="001A2236" w:rsidRDefault="00CA7EE5" w:rsidP="00CA7EE5">
            <w:r w:rsidRPr="00751531">
              <w:t xml:space="preserve">56403 - Антигени HLA класу I та II, </w:t>
            </w:r>
            <w:proofErr w:type="spellStart"/>
            <w:r w:rsidRPr="00751531">
              <w:t>типування</w:t>
            </w:r>
            <w:proofErr w:type="spellEnd"/>
            <w:r w:rsidRPr="00751531">
              <w:t xml:space="preserve"> тканин нуклеїнової кислоти IVD (діагностика </w:t>
            </w:r>
            <w:proofErr w:type="spellStart"/>
            <w:r w:rsidRPr="00751531">
              <w:t>in</w:t>
            </w:r>
            <w:proofErr w:type="spellEnd"/>
            <w:r w:rsidRPr="00751531">
              <w:t xml:space="preserve"> </w:t>
            </w:r>
            <w:proofErr w:type="spellStart"/>
            <w:r w:rsidRPr="00751531">
              <w:t>vitro</w:t>
            </w:r>
            <w:proofErr w:type="spellEnd"/>
            <w:r w:rsidRPr="00751531">
              <w:t xml:space="preserve"> ), набір, аналіз нуклеїнових кислот</w:t>
            </w:r>
          </w:p>
        </w:tc>
      </w:tr>
      <w:tr w:rsidR="00CA7EE5" w14:paraId="2CA81046" w14:textId="77777777" w:rsidTr="00405E4B">
        <w:trPr>
          <w:trHeight w:val="930"/>
        </w:trPr>
        <w:tc>
          <w:tcPr>
            <w:tcW w:w="596" w:type="dxa"/>
            <w:shd w:val="clear" w:color="auto" w:fill="auto"/>
            <w:vAlign w:val="center"/>
          </w:tcPr>
          <w:p w14:paraId="35645C2A" w14:textId="30471E09" w:rsidR="00CA7EE5" w:rsidRDefault="00CA7EE5" w:rsidP="00CA7EE5">
            <w:pPr>
              <w:jc w:val="center"/>
              <w:rPr>
                <w:sz w:val="20"/>
                <w:szCs w:val="20"/>
              </w:rPr>
            </w:pPr>
            <w:r>
              <w:rPr>
                <w:color w:val="000000"/>
              </w:rPr>
              <w:t>7</w:t>
            </w:r>
          </w:p>
        </w:tc>
        <w:tc>
          <w:tcPr>
            <w:tcW w:w="2764" w:type="dxa"/>
            <w:shd w:val="clear" w:color="auto" w:fill="auto"/>
          </w:tcPr>
          <w:p w14:paraId="66308D93" w14:textId="7730DAA1" w:rsidR="00CA7EE5" w:rsidRDefault="00CA7EE5" w:rsidP="00CA7EE5">
            <w:r w:rsidRPr="00BD1936">
              <w:t xml:space="preserve">Набір для </w:t>
            </w:r>
            <w:proofErr w:type="spellStart"/>
            <w:r w:rsidRPr="00BD1936">
              <w:t>типування</w:t>
            </w:r>
            <w:proofErr w:type="spellEnd"/>
            <w:r w:rsidRPr="00BD1936">
              <w:t xml:space="preserve"> HLA </w:t>
            </w:r>
            <w:proofErr w:type="spellStart"/>
            <w:r w:rsidRPr="00BD1936">
              <w:t>Class</w:t>
            </w:r>
            <w:proofErr w:type="spellEnd"/>
            <w:r w:rsidRPr="00BD1936">
              <w:t xml:space="preserve"> I </w:t>
            </w:r>
          </w:p>
        </w:tc>
        <w:tc>
          <w:tcPr>
            <w:tcW w:w="801" w:type="dxa"/>
            <w:shd w:val="clear" w:color="auto" w:fill="auto"/>
            <w:noWrap/>
          </w:tcPr>
          <w:p w14:paraId="6FB423D4" w14:textId="19FCE06C" w:rsidR="00CA7EE5" w:rsidRPr="00ED30A3" w:rsidRDefault="00CA7EE5" w:rsidP="00CA7EE5">
            <w:pPr>
              <w:jc w:val="center"/>
            </w:pPr>
            <w:r w:rsidRPr="00651253">
              <w:t>набір</w:t>
            </w:r>
          </w:p>
        </w:tc>
        <w:tc>
          <w:tcPr>
            <w:tcW w:w="1117" w:type="dxa"/>
            <w:shd w:val="clear" w:color="auto" w:fill="auto"/>
            <w:noWrap/>
          </w:tcPr>
          <w:p w14:paraId="6CCF7DA4" w14:textId="790F5B6A" w:rsidR="00CA7EE5" w:rsidRPr="00F84350" w:rsidRDefault="00CA7EE5" w:rsidP="00CA7EE5">
            <w:pPr>
              <w:jc w:val="center"/>
            </w:pPr>
            <w:r w:rsidRPr="00651253">
              <w:t>3</w:t>
            </w:r>
          </w:p>
        </w:tc>
        <w:tc>
          <w:tcPr>
            <w:tcW w:w="1676" w:type="dxa"/>
            <w:shd w:val="clear" w:color="auto" w:fill="auto"/>
          </w:tcPr>
          <w:p w14:paraId="6F13DFB5" w14:textId="7FB36F65" w:rsidR="00CA7EE5" w:rsidRPr="00F84350" w:rsidRDefault="00CA7EE5" w:rsidP="00CA7EE5">
            <w:r w:rsidRPr="00E23D28">
              <w:t>33690000-3 Лікарські засоби різні</w:t>
            </w:r>
          </w:p>
        </w:tc>
        <w:tc>
          <w:tcPr>
            <w:tcW w:w="3687" w:type="dxa"/>
            <w:shd w:val="clear" w:color="auto" w:fill="auto"/>
          </w:tcPr>
          <w:p w14:paraId="687A0894" w14:textId="1C85E987" w:rsidR="00CA7EE5" w:rsidRPr="001A2236" w:rsidRDefault="00CA7EE5" w:rsidP="00CA7EE5">
            <w:r w:rsidRPr="00751531">
              <w:t xml:space="preserve">56398 - Антигени HLA класу I та II, </w:t>
            </w:r>
            <w:proofErr w:type="spellStart"/>
            <w:r w:rsidRPr="00751531">
              <w:t>типування</w:t>
            </w:r>
            <w:proofErr w:type="spellEnd"/>
            <w:r w:rsidRPr="00751531">
              <w:t xml:space="preserve"> тканин IVD (діагностика </w:t>
            </w:r>
            <w:proofErr w:type="spellStart"/>
            <w:r w:rsidRPr="00751531">
              <w:t>in</w:t>
            </w:r>
            <w:proofErr w:type="spellEnd"/>
            <w:r w:rsidRPr="00751531">
              <w:t xml:space="preserve"> </w:t>
            </w:r>
            <w:proofErr w:type="spellStart"/>
            <w:r w:rsidRPr="00751531">
              <w:t>vitro</w:t>
            </w:r>
            <w:proofErr w:type="spellEnd"/>
            <w:r w:rsidRPr="00751531">
              <w:t xml:space="preserve"> ), набір, мультиплексний аналіз</w:t>
            </w:r>
          </w:p>
        </w:tc>
      </w:tr>
      <w:tr w:rsidR="00CA7EE5" w14:paraId="4DDA2C98" w14:textId="77777777" w:rsidTr="00405E4B">
        <w:trPr>
          <w:trHeight w:val="930"/>
        </w:trPr>
        <w:tc>
          <w:tcPr>
            <w:tcW w:w="596" w:type="dxa"/>
            <w:shd w:val="clear" w:color="auto" w:fill="auto"/>
            <w:vAlign w:val="center"/>
          </w:tcPr>
          <w:p w14:paraId="46852698" w14:textId="3358101E" w:rsidR="00CA7EE5" w:rsidRDefault="00CA7EE5" w:rsidP="00CA7EE5">
            <w:pPr>
              <w:jc w:val="center"/>
              <w:rPr>
                <w:sz w:val="20"/>
                <w:szCs w:val="20"/>
              </w:rPr>
            </w:pPr>
            <w:r>
              <w:rPr>
                <w:color w:val="000000"/>
              </w:rPr>
              <w:t>8</w:t>
            </w:r>
          </w:p>
        </w:tc>
        <w:tc>
          <w:tcPr>
            <w:tcW w:w="2764" w:type="dxa"/>
            <w:shd w:val="clear" w:color="auto" w:fill="auto"/>
          </w:tcPr>
          <w:p w14:paraId="7D2674E6" w14:textId="43BA4431" w:rsidR="00CA7EE5" w:rsidRDefault="00CA7EE5" w:rsidP="00CA7EE5">
            <w:r w:rsidRPr="00BD1936">
              <w:t xml:space="preserve">Набір для </w:t>
            </w:r>
            <w:proofErr w:type="spellStart"/>
            <w:r w:rsidRPr="00BD1936">
              <w:t>типування</w:t>
            </w:r>
            <w:proofErr w:type="spellEnd"/>
            <w:r w:rsidRPr="00BD1936">
              <w:t xml:space="preserve"> HLA </w:t>
            </w:r>
            <w:proofErr w:type="spellStart"/>
            <w:r w:rsidRPr="00BD1936">
              <w:t>Class</w:t>
            </w:r>
            <w:proofErr w:type="spellEnd"/>
            <w:r w:rsidRPr="00BD1936">
              <w:t xml:space="preserve"> IІ DNA </w:t>
            </w:r>
          </w:p>
        </w:tc>
        <w:tc>
          <w:tcPr>
            <w:tcW w:w="801" w:type="dxa"/>
            <w:shd w:val="clear" w:color="auto" w:fill="auto"/>
            <w:noWrap/>
          </w:tcPr>
          <w:p w14:paraId="475F9A09" w14:textId="0302EC63" w:rsidR="00CA7EE5" w:rsidRPr="00ED30A3" w:rsidRDefault="00CA7EE5" w:rsidP="00CA7EE5">
            <w:pPr>
              <w:jc w:val="center"/>
            </w:pPr>
            <w:r w:rsidRPr="00651253">
              <w:t>набір</w:t>
            </w:r>
          </w:p>
        </w:tc>
        <w:tc>
          <w:tcPr>
            <w:tcW w:w="1117" w:type="dxa"/>
            <w:shd w:val="clear" w:color="auto" w:fill="auto"/>
            <w:noWrap/>
          </w:tcPr>
          <w:p w14:paraId="39A51620" w14:textId="24A56A19" w:rsidR="00CA7EE5" w:rsidRPr="00F84350" w:rsidRDefault="00CA7EE5" w:rsidP="00CA7EE5">
            <w:pPr>
              <w:jc w:val="center"/>
            </w:pPr>
            <w:r w:rsidRPr="00651253">
              <w:t>1</w:t>
            </w:r>
          </w:p>
        </w:tc>
        <w:tc>
          <w:tcPr>
            <w:tcW w:w="1676" w:type="dxa"/>
            <w:shd w:val="clear" w:color="auto" w:fill="auto"/>
          </w:tcPr>
          <w:p w14:paraId="0D4E8EB6" w14:textId="21C57991" w:rsidR="00CA7EE5" w:rsidRPr="00F84350" w:rsidRDefault="00CA7EE5" w:rsidP="00CA7EE5">
            <w:r w:rsidRPr="00E23D28">
              <w:t>33690000-3 Лікарські засоби різні</w:t>
            </w:r>
          </w:p>
        </w:tc>
        <w:tc>
          <w:tcPr>
            <w:tcW w:w="3687" w:type="dxa"/>
            <w:shd w:val="clear" w:color="auto" w:fill="auto"/>
          </w:tcPr>
          <w:p w14:paraId="19C5A1BA" w14:textId="72326B62" w:rsidR="00CA7EE5" w:rsidRPr="001A2236" w:rsidRDefault="00CA7EE5" w:rsidP="00CA7EE5">
            <w:r w:rsidRPr="00751531">
              <w:t xml:space="preserve">56398 - Антигени HLA класу I та II, </w:t>
            </w:r>
            <w:proofErr w:type="spellStart"/>
            <w:r w:rsidRPr="00751531">
              <w:t>типування</w:t>
            </w:r>
            <w:proofErr w:type="spellEnd"/>
            <w:r w:rsidRPr="00751531">
              <w:t xml:space="preserve"> тканин IVD (діагностика </w:t>
            </w:r>
            <w:proofErr w:type="spellStart"/>
            <w:r w:rsidRPr="00751531">
              <w:t>in</w:t>
            </w:r>
            <w:proofErr w:type="spellEnd"/>
            <w:r w:rsidRPr="00751531">
              <w:t xml:space="preserve"> </w:t>
            </w:r>
            <w:proofErr w:type="spellStart"/>
            <w:r w:rsidRPr="00751531">
              <w:t>vitro</w:t>
            </w:r>
            <w:proofErr w:type="spellEnd"/>
            <w:r w:rsidRPr="00751531">
              <w:t xml:space="preserve"> ), набір, мультиплексний аналіз</w:t>
            </w:r>
          </w:p>
        </w:tc>
      </w:tr>
      <w:tr w:rsidR="00CA7EE5" w14:paraId="6B6579B4" w14:textId="77777777" w:rsidTr="00405E4B">
        <w:trPr>
          <w:trHeight w:val="930"/>
        </w:trPr>
        <w:tc>
          <w:tcPr>
            <w:tcW w:w="596" w:type="dxa"/>
            <w:shd w:val="clear" w:color="auto" w:fill="auto"/>
            <w:vAlign w:val="center"/>
          </w:tcPr>
          <w:p w14:paraId="301E6DF7" w14:textId="546F285D" w:rsidR="00CA7EE5" w:rsidRDefault="00CA7EE5" w:rsidP="00CA7EE5">
            <w:pPr>
              <w:jc w:val="center"/>
              <w:rPr>
                <w:sz w:val="20"/>
                <w:szCs w:val="20"/>
              </w:rPr>
            </w:pPr>
            <w:r>
              <w:rPr>
                <w:color w:val="000000"/>
              </w:rPr>
              <w:t>9</w:t>
            </w:r>
          </w:p>
        </w:tc>
        <w:tc>
          <w:tcPr>
            <w:tcW w:w="2764" w:type="dxa"/>
            <w:shd w:val="clear" w:color="auto" w:fill="auto"/>
          </w:tcPr>
          <w:p w14:paraId="1A6D66D6" w14:textId="5B7FD56B" w:rsidR="00CA7EE5" w:rsidRDefault="00CA7EE5" w:rsidP="00CA7EE5">
            <w:r w:rsidRPr="00BD1936">
              <w:t xml:space="preserve">Набір  для </w:t>
            </w:r>
            <w:proofErr w:type="spellStart"/>
            <w:r w:rsidRPr="00BD1936">
              <w:t>типування</w:t>
            </w:r>
            <w:proofErr w:type="spellEnd"/>
            <w:r w:rsidRPr="00BD1936">
              <w:t xml:space="preserve"> HLA-ABCDRDQB1</w:t>
            </w:r>
          </w:p>
        </w:tc>
        <w:tc>
          <w:tcPr>
            <w:tcW w:w="801" w:type="dxa"/>
            <w:shd w:val="clear" w:color="auto" w:fill="auto"/>
            <w:noWrap/>
          </w:tcPr>
          <w:p w14:paraId="720EEBDE" w14:textId="5D99D311" w:rsidR="00CA7EE5" w:rsidRPr="00ED30A3" w:rsidRDefault="00CA7EE5" w:rsidP="00CA7EE5">
            <w:pPr>
              <w:jc w:val="center"/>
            </w:pPr>
            <w:r w:rsidRPr="00651253">
              <w:t>набір</w:t>
            </w:r>
          </w:p>
        </w:tc>
        <w:tc>
          <w:tcPr>
            <w:tcW w:w="1117" w:type="dxa"/>
            <w:shd w:val="clear" w:color="auto" w:fill="auto"/>
            <w:noWrap/>
          </w:tcPr>
          <w:p w14:paraId="417B9278" w14:textId="35BB9417" w:rsidR="00CA7EE5" w:rsidRPr="00F84350" w:rsidRDefault="00CA7EE5" w:rsidP="00CA7EE5">
            <w:pPr>
              <w:jc w:val="center"/>
            </w:pPr>
            <w:r w:rsidRPr="00651253">
              <w:t>2</w:t>
            </w:r>
          </w:p>
        </w:tc>
        <w:tc>
          <w:tcPr>
            <w:tcW w:w="1676" w:type="dxa"/>
            <w:shd w:val="clear" w:color="auto" w:fill="auto"/>
          </w:tcPr>
          <w:p w14:paraId="3CAED1F2" w14:textId="2FD57D87" w:rsidR="00CA7EE5" w:rsidRPr="00F84350" w:rsidRDefault="00CA7EE5" w:rsidP="00CA7EE5">
            <w:r w:rsidRPr="00E23D28">
              <w:t>33690000-3 Лікарські засоби різні</w:t>
            </w:r>
          </w:p>
        </w:tc>
        <w:tc>
          <w:tcPr>
            <w:tcW w:w="3687" w:type="dxa"/>
            <w:shd w:val="clear" w:color="auto" w:fill="auto"/>
          </w:tcPr>
          <w:p w14:paraId="19B90E47" w14:textId="45B85E61" w:rsidR="00CA7EE5" w:rsidRPr="001A2236" w:rsidRDefault="00CA7EE5" w:rsidP="00CA7EE5">
            <w:r w:rsidRPr="00751531">
              <w:t xml:space="preserve">56403 - Антигени HLA класу I та II, </w:t>
            </w:r>
            <w:proofErr w:type="spellStart"/>
            <w:r w:rsidRPr="00751531">
              <w:t>типування</w:t>
            </w:r>
            <w:proofErr w:type="spellEnd"/>
            <w:r w:rsidRPr="00751531">
              <w:t xml:space="preserve"> тканин нуклеїнової кислоти IVD (діагностика </w:t>
            </w:r>
            <w:proofErr w:type="spellStart"/>
            <w:r w:rsidRPr="00751531">
              <w:t>in</w:t>
            </w:r>
            <w:proofErr w:type="spellEnd"/>
            <w:r w:rsidRPr="00751531">
              <w:t xml:space="preserve"> </w:t>
            </w:r>
            <w:proofErr w:type="spellStart"/>
            <w:r w:rsidRPr="00751531">
              <w:lastRenderedPageBreak/>
              <w:t>vitro</w:t>
            </w:r>
            <w:proofErr w:type="spellEnd"/>
            <w:r w:rsidRPr="00751531">
              <w:t>), набір, аналіз нуклеїнових кислот</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0C6AC1B3" w14:textId="33E5C731" w:rsidR="00CC136D" w:rsidRPr="002E428B" w:rsidRDefault="00493A71" w:rsidP="00CC136D">
      <w:pPr>
        <w:spacing w:line="288" w:lineRule="auto"/>
        <w:jc w:val="center"/>
        <w:rPr>
          <w:b/>
        </w:rPr>
      </w:pPr>
      <w:bookmarkStart w:id="1" w:name="_Hlk222146417"/>
      <w:r w:rsidRPr="002E428B">
        <w:rPr>
          <w:b/>
        </w:rPr>
        <w:t xml:space="preserve">Медико-технічні вимоги на закупівлю реагентів та витратних матеріалів </w:t>
      </w:r>
    </w:p>
    <w:p w14:paraId="7695A6CC" w14:textId="652FAFB8" w:rsidR="00493A71" w:rsidRPr="002E428B" w:rsidRDefault="00493A71" w:rsidP="00493A71">
      <w:pPr>
        <w:spacing w:line="288" w:lineRule="auto"/>
        <w:jc w:val="center"/>
        <w:rPr>
          <w:b/>
        </w:rPr>
      </w:pPr>
      <w:r w:rsidRPr="002E428B">
        <w:rPr>
          <w:b/>
        </w:rPr>
        <w:t>НДСЛ "ОХМАТДИТ" МОЗ України на 202</w:t>
      </w:r>
      <w:r>
        <w:rPr>
          <w:b/>
          <w:lang w:val="ru-RU"/>
        </w:rPr>
        <w:t>6</w:t>
      </w:r>
      <w:r w:rsidRPr="002E428B">
        <w:rPr>
          <w:b/>
        </w:rPr>
        <w:t xml:space="preserve"> рік.</w:t>
      </w:r>
    </w:p>
    <w:p w14:paraId="662CD7D8" w14:textId="77777777" w:rsidR="00493A71" w:rsidRPr="002E428B" w:rsidRDefault="00493A71" w:rsidP="00493A71">
      <w:pPr>
        <w:spacing w:line="288" w:lineRule="auto"/>
        <w:jc w:val="center"/>
        <w:rPr>
          <w:b/>
        </w:rPr>
      </w:pPr>
    </w:p>
    <w:p w14:paraId="5984AF11" w14:textId="77777777" w:rsidR="00CA7EE5" w:rsidRPr="00CA7EE5" w:rsidRDefault="00CA7EE5" w:rsidP="00CA7EE5">
      <w:pPr>
        <w:spacing w:after="160" w:line="256" w:lineRule="auto"/>
        <w:rPr>
          <w:rFonts w:eastAsia="Calibri"/>
          <w:b/>
          <w:u w:val="single"/>
          <w:lang w:eastAsia="en-US"/>
        </w:rPr>
      </w:pPr>
      <w:r w:rsidRPr="00CA7EE5">
        <w:rPr>
          <w:rFonts w:eastAsia="Calibri"/>
          <w:b/>
          <w:u w:val="single"/>
          <w:lang w:eastAsia="en-US"/>
        </w:rPr>
        <w:t>Загальні вимоги</w:t>
      </w:r>
    </w:p>
    <w:p w14:paraId="523D0A53" w14:textId="77777777" w:rsidR="00CA7EE5" w:rsidRPr="00CA7EE5" w:rsidRDefault="00CA7EE5" w:rsidP="00CA7EE5">
      <w:pPr>
        <w:numPr>
          <w:ilvl w:val="0"/>
          <w:numId w:val="11"/>
        </w:numPr>
        <w:spacing w:after="160" w:line="256" w:lineRule="auto"/>
        <w:contextualSpacing/>
        <w:jc w:val="both"/>
        <w:rPr>
          <w:rFonts w:eastAsia="Calibri"/>
          <w:lang w:eastAsia="en-US"/>
        </w:rPr>
      </w:pPr>
      <w:r w:rsidRPr="00CA7EE5">
        <w:rPr>
          <w:rFonts w:eastAsia="Calibri"/>
          <w:bCs/>
          <w:lang w:eastAsia="uk-UA"/>
        </w:rPr>
        <w:t>Мати документи,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0AC1E241" w14:textId="77777777" w:rsidR="00CA7EE5" w:rsidRPr="00CA7EE5" w:rsidRDefault="00CA7EE5" w:rsidP="00CA7EE5">
      <w:pPr>
        <w:numPr>
          <w:ilvl w:val="0"/>
          <w:numId w:val="11"/>
        </w:numPr>
        <w:spacing w:after="160" w:line="256" w:lineRule="auto"/>
        <w:contextualSpacing/>
        <w:jc w:val="both"/>
        <w:rPr>
          <w:rFonts w:eastAsia="Calibri"/>
          <w:lang w:eastAsia="en-US"/>
        </w:rPr>
      </w:pPr>
      <w:r w:rsidRPr="00CA7EE5">
        <w:rPr>
          <w:rFonts w:eastAsia="Calibri"/>
          <w:lang w:eastAsia="en-US"/>
        </w:rPr>
        <w:t xml:space="preserve">Мати копію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(у разі наявності) </w:t>
      </w:r>
    </w:p>
    <w:p w14:paraId="4B1191C2" w14:textId="77777777" w:rsidR="00CA7EE5" w:rsidRPr="00CA7EE5" w:rsidRDefault="00CA7EE5" w:rsidP="00CA7EE5">
      <w:pPr>
        <w:numPr>
          <w:ilvl w:val="0"/>
          <w:numId w:val="11"/>
        </w:numPr>
        <w:spacing w:after="160" w:line="256" w:lineRule="auto"/>
        <w:contextualSpacing/>
        <w:jc w:val="both"/>
        <w:rPr>
          <w:rFonts w:eastAsia="Calibri"/>
          <w:lang w:eastAsia="en-US"/>
        </w:rPr>
      </w:pPr>
      <w:r w:rsidRPr="00CA7EE5">
        <w:rPr>
          <w:rFonts w:eastAsia="Calibri"/>
          <w:lang w:eastAsia="en-US"/>
        </w:rPr>
        <w:t>Поставлятись транспортом Учасника за умови попередньої заявки Замовника та оплачуватись тільки по факту поставки товару з можливістю відстрочки платежу до 30 календарних днів.</w:t>
      </w:r>
    </w:p>
    <w:p w14:paraId="7C119784" w14:textId="77777777" w:rsidR="00CA7EE5" w:rsidRPr="00CA7EE5" w:rsidRDefault="00CA7EE5" w:rsidP="00CA7EE5">
      <w:pPr>
        <w:numPr>
          <w:ilvl w:val="0"/>
          <w:numId w:val="11"/>
        </w:numPr>
        <w:spacing w:after="160" w:line="256" w:lineRule="auto"/>
        <w:contextualSpacing/>
        <w:jc w:val="both"/>
        <w:rPr>
          <w:rFonts w:eastAsia="Calibri"/>
          <w:lang w:eastAsia="en-US"/>
        </w:rPr>
      </w:pPr>
      <w:r w:rsidRPr="00CA7EE5">
        <w:rPr>
          <w:rFonts w:eastAsia="Calibri"/>
          <w:lang w:eastAsia="en-US"/>
        </w:rPr>
        <w:t>Мати терміни придатності не менше 6 місяців та не менше 80% від передбачуваного.</w:t>
      </w:r>
    </w:p>
    <w:p w14:paraId="49EE8D34" w14:textId="77777777" w:rsidR="00CA7EE5" w:rsidRPr="00CA7EE5" w:rsidRDefault="00CA7EE5" w:rsidP="00CA7EE5">
      <w:pPr>
        <w:numPr>
          <w:ilvl w:val="0"/>
          <w:numId w:val="11"/>
        </w:numPr>
        <w:spacing w:after="160" w:line="256" w:lineRule="auto"/>
        <w:contextualSpacing/>
        <w:jc w:val="both"/>
        <w:rPr>
          <w:rFonts w:eastAsia="Calibri"/>
          <w:lang w:eastAsia="en-US"/>
        </w:rPr>
      </w:pPr>
      <w:r w:rsidRPr="00CA7EE5">
        <w:rPr>
          <w:rFonts w:eastAsia="Calibri"/>
          <w:lang w:eastAsia="en-US"/>
        </w:rPr>
        <w:t>Зберігатися та транспортуватися з дотриманням встановлених вимог до кожної позиції</w:t>
      </w:r>
    </w:p>
    <w:p w14:paraId="277AB3C1" w14:textId="77777777" w:rsidR="00CA7EE5" w:rsidRPr="00CA7EE5" w:rsidRDefault="00CA7EE5" w:rsidP="00CA7EE5">
      <w:pPr>
        <w:spacing w:after="160" w:line="256" w:lineRule="auto"/>
        <w:rPr>
          <w:rFonts w:eastAsia="Calibri"/>
          <w:b/>
          <w:u w:val="single"/>
          <w:lang w:eastAsia="en-US"/>
        </w:rPr>
      </w:pPr>
      <w:r w:rsidRPr="00CA7EE5">
        <w:rPr>
          <w:rFonts w:eastAsia="Calibri"/>
          <w:b/>
          <w:u w:val="single"/>
          <w:lang w:eastAsia="en-US"/>
        </w:rPr>
        <w:t>Загальні вимоги до реагентів</w:t>
      </w:r>
    </w:p>
    <w:p w14:paraId="294EBBA5" w14:textId="77777777" w:rsidR="00CA7EE5" w:rsidRPr="00CA7EE5" w:rsidRDefault="00CA7EE5" w:rsidP="00CA7EE5">
      <w:pPr>
        <w:numPr>
          <w:ilvl w:val="0"/>
          <w:numId w:val="12"/>
        </w:numPr>
        <w:spacing w:after="160" w:line="256" w:lineRule="auto"/>
        <w:ind w:left="426" w:hanging="426"/>
        <w:contextualSpacing/>
        <w:jc w:val="both"/>
        <w:rPr>
          <w:rFonts w:eastAsia="Calibri"/>
          <w:b/>
          <w:lang w:eastAsia="en-US"/>
        </w:rPr>
      </w:pPr>
      <w:r w:rsidRPr="00CA7EE5">
        <w:rPr>
          <w:rFonts w:eastAsia="Calibri"/>
          <w:b/>
          <w:lang w:eastAsia="en-US"/>
        </w:rPr>
        <w:t xml:space="preserve">Набір  для </w:t>
      </w:r>
      <w:proofErr w:type="spellStart"/>
      <w:r w:rsidRPr="00CA7EE5">
        <w:rPr>
          <w:rFonts w:eastAsia="Calibri"/>
          <w:b/>
          <w:lang w:eastAsia="en-US"/>
        </w:rPr>
        <w:t>типування</w:t>
      </w:r>
      <w:proofErr w:type="spellEnd"/>
      <w:r w:rsidRPr="00CA7EE5">
        <w:rPr>
          <w:rFonts w:eastAsia="Calibri"/>
          <w:b/>
          <w:lang w:eastAsia="en-US"/>
        </w:rPr>
        <w:t xml:space="preserve"> </w:t>
      </w:r>
      <w:proofErr w:type="spellStart"/>
      <w:r w:rsidRPr="00CA7EE5">
        <w:rPr>
          <w:rFonts w:eastAsia="Calibri"/>
          <w:b/>
          <w:lang w:eastAsia="en-US"/>
        </w:rPr>
        <w:t>LABType</w:t>
      </w:r>
      <w:proofErr w:type="spellEnd"/>
      <w:r w:rsidRPr="00CA7EE5">
        <w:rPr>
          <w:rFonts w:eastAsia="Calibri"/>
          <w:b/>
          <w:lang w:eastAsia="en-US"/>
        </w:rPr>
        <w:t xml:space="preserve"> CWD </w:t>
      </w:r>
      <w:proofErr w:type="spellStart"/>
      <w:r w:rsidRPr="00CA7EE5">
        <w:rPr>
          <w:rFonts w:eastAsia="Calibri"/>
          <w:b/>
          <w:lang w:eastAsia="en-US"/>
        </w:rPr>
        <w:t>Class</w:t>
      </w:r>
      <w:proofErr w:type="spellEnd"/>
      <w:r w:rsidRPr="00CA7EE5">
        <w:rPr>
          <w:rFonts w:eastAsia="Calibri"/>
          <w:b/>
          <w:lang w:eastAsia="en-US"/>
        </w:rPr>
        <w:t xml:space="preserve"> I A </w:t>
      </w:r>
      <w:proofErr w:type="spellStart"/>
      <w:r w:rsidRPr="00CA7EE5">
        <w:rPr>
          <w:rFonts w:eastAsia="Calibri"/>
          <w:b/>
          <w:lang w:eastAsia="en-US"/>
        </w:rPr>
        <w:t>Locus</w:t>
      </w:r>
      <w:proofErr w:type="spellEnd"/>
      <w:r w:rsidRPr="00CA7EE5">
        <w:rPr>
          <w:rFonts w:eastAsia="Calibri"/>
          <w:b/>
          <w:lang w:eastAsia="en-US"/>
        </w:rPr>
        <w:t xml:space="preserve">, або еквівалент: </w:t>
      </w:r>
      <w:r w:rsidRPr="00CA7EE5">
        <w:rPr>
          <w:rFonts w:eastAsia="Calibri"/>
          <w:lang w:eastAsia="en-US"/>
        </w:rPr>
        <w:t xml:space="preserve">Набір для молекулярно-генетичного </w:t>
      </w:r>
      <w:proofErr w:type="spellStart"/>
      <w:r w:rsidRPr="00CA7EE5">
        <w:rPr>
          <w:rFonts w:eastAsia="Calibri"/>
          <w:lang w:eastAsia="en-US"/>
        </w:rPr>
        <w:t>типування</w:t>
      </w:r>
      <w:proofErr w:type="spellEnd"/>
      <w:r w:rsidRPr="00CA7EE5">
        <w:rPr>
          <w:rFonts w:eastAsia="Calibri"/>
          <w:lang w:eastAsia="en-US"/>
        </w:rPr>
        <w:t xml:space="preserve"> HLA Класу І локусу А методом зворотного SSO. Набір повинен містить </w:t>
      </w:r>
      <w:proofErr w:type="spellStart"/>
      <w:r w:rsidRPr="00CA7EE5">
        <w:rPr>
          <w:rFonts w:eastAsia="Calibri"/>
          <w:lang w:eastAsia="en-US"/>
        </w:rPr>
        <w:t>олігонуклеотидні</w:t>
      </w:r>
      <w:proofErr w:type="spellEnd"/>
      <w:r w:rsidRPr="00CA7EE5">
        <w:rPr>
          <w:rFonts w:eastAsia="Calibri"/>
          <w:lang w:eastAsia="en-US"/>
        </w:rPr>
        <w:t xml:space="preserve"> зонди, що дозволяють </w:t>
      </w:r>
      <w:proofErr w:type="spellStart"/>
      <w:r w:rsidRPr="00CA7EE5">
        <w:rPr>
          <w:rFonts w:eastAsia="Calibri"/>
          <w:lang w:eastAsia="en-US"/>
        </w:rPr>
        <w:t>типування</w:t>
      </w:r>
      <w:proofErr w:type="spellEnd"/>
      <w:r w:rsidRPr="00CA7EE5">
        <w:rPr>
          <w:rFonts w:eastAsia="Calibri"/>
          <w:lang w:eastAsia="en-US"/>
        </w:rPr>
        <w:t xml:space="preserve"> поширених (</w:t>
      </w:r>
      <w:proofErr w:type="spellStart"/>
      <w:r w:rsidRPr="00CA7EE5">
        <w:rPr>
          <w:rFonts w:eastAsia="Calibri"/>
          <w:lang w:eastAsia="en-US"/>
        </w:rPr>
        <w:t>Common</w:t>
      </w:r>
      <w:proofErr w:type="spellEnd"/>
      <w:r w:rsidRPr="00CA7EE5">
        <w:rPr>
          <w:rFonts w:eastAsia="Calibri"/>
          <w:lang w:eastAsia="en-US"/>
        </w:rPr>
        <w:t>), проміжних (</w:t>
      </w:r>
      <w:proofErr w:type="spellStart"/>
      <w:r w:rsidRPr="00CA7EE5">
        <w:rPr>
          <w:rFonts w:eastAsia="Calibri"/>
          <w:lang w:eastAsia="en-US"/>
        </w:rPr>
        <w:t>Intermediate</w:t>
      </w:r>
      <w:proofErr w:type="spellEnd"/>
      <w:r w:rsidRPr="00CA7EE5">
        <w:rPr>
          <w:rFonts w:eastAsia="Calibri"/>
          <w:lang w:eastAsia="en-US"/>
        </w:rPr>
        <w:t>) та добре задокументованих (</w:t>
      </w:r>
      <w:proofErr w:type="spellStart"/>
      <w:r w:rsidRPr="00CA7EE5">
        <w:rPr>
          <w:rFonts w:eastAsia="Calibri"/>
          <w:lang w:eastAsia="en-US"/>
        </w:rPr>
        <w:t>Well-Documented</w:t>
      </w:r>
      <w:proofErr w:type="spellEnd"/>
      <w:r w:rsidRPr="00CA7EE5">
        <w:rPr>
          <w:rFonts w:eastAsia="Calibri"/>
          <w:lang w:eastAsia="en-US"/>
        </w:rPr>
        <w:t>) алелів HLA відповідно до актуального каталогу CIWD. Набір повинен бути призначений для використання на аналізаторі LABScan3D™. Набір повинен бути розрахований на проведення 100 тестів.</w:t>
      </w:r>
    </w:p>
    <w:p w14:paraId="4C817C30" w14:textId="77777777" w:rsidR="00CA7EE5" w:rsidRPr="00CA7EE5" w:rsidRDefault="00CA7EE5" w:rsidP="00CA7EE5">
      <w:pPr>
        <w:numPr>
          <w:ilvl w:val="0"/>
          <w:numId w:val="12"/>
        </w:numPr>
        <w:spacing w:after="160" w:line="256" w:lineRule="auto"/>
        <w:ind w:left="426" w:hanging="426"/>
        <w:contextualSpacing/>
        <w:jc w:val="both"/>
        <w:rPr>
          <w:rFonts w:eastAsia="Calibri"/>
          <w:b/>
          <w:lang w:eastAsia="en-US"/>
        </w:rPr>
      </w:pPr>
      <w:r w:rsidRPr="00CA7EE5">
        <w:rPr>
          <w:rFonts w:eastAsia="Calibri"/>
          <w:b/>
          <w:lang w:eastAsia="en-US"/>
        </w:rPr>
        <w:t xml:space="preserve">Набір  для </w:t>
      </w:r>
      <w:proofErr w:type="spellStart"/>
      <w:r w:rsidRPr="00CA7EE5">
        <w:rPr>
          <w:rFonts w:eastAsia="Calibri"/>
          <w:b/>
          <w:lang w:eastAsia="en-US"/>
        </w:rPr>
        <w:t>типування</w:t>
      </w:r>
      <w:proofErr w:type="spellEnd"/>
      <w:r w:rsidRPr="00CA7EE5">
        <w:rPr>
          <w:rFonts w:eastAsia="Calibri"/>
          <w:b/>
          <w:lang w:eastAsia="en-US"/>
        </w:rPr>
        <w:t xml:space="preserve"> </w:t>
      </w:r>
      <w:proofErr w:type="spellStart"/>
      <w:r w:rsidRPr="00CA7EE5">
        <w:rPr>
          <w:rFonts w:eastAsia="Calibri"/>
          <w:b/>
          <w:lang w:eastAsia="en-US"/>
        </w:rPr>
        <w:t>LABType</w:t>
      </w:r>
      <w:proofErr w:type="spellEnd"/>
      <w:r w:rsidRPr="00CA7EE5">
        <w:rPr>
          <w:rFonts w:eastAsia="Calibri"/>
          <w:b/>
          <w:lang w:eastAsia="en-US"/>
        </w:rPr>
        <w:t xml:space="preserve"> CWD </w:t>
      </w:r>
      <w:proofErr w:type="spellStart"/>
      <w:r w:rsidRPr="00CA7EE5">
        <w:rPr>
          <w:rFonts w:eastAsia="Calibri"/>
          <w:b/>
          <w:lang w:eastAsia="en-US"/>
        </w:rPr>
        <w:t>Class</w:t>
      </w:r>
      <w:proofErr w:type="spellEnd"/>
      <w:r w:rsidRPr="00CA7EE5">
        <w:rPr>
          <w:rFonts w:eastAsia="Calibri"/>
          <w:b/>
          <w:lang w:eastAsia="en-US"/>
        </w:rPr>
        <w:t xml:space="preserve"> I B </w:t>
      </w:r>
      <w:proofErr w:type="spellStart"/>
      <w:r w:rsidRPr="00CA7EE5">
        <w:rPr>
          <w:rFonts w:eastAsia="Calibri"/>
          <w:b/>
          <w:lang w:eastAsia="en-US"/>
        </w:rPr>
        <w:t>Locus</w:t>
      </w:r>
      <w:proofErr w:type="spellEnd"/>
      <w:r w:rsidRPr="00CA7EE5">
        <w:rPr>
          <w:rFonts w:eastAsia="Calibri"/>
          <w:b/>
          <w:lang w:eastAsia="en-US"/>
        </w:rPr>
        <w:t xml:space="preserve">, або еквівалент: </w:t>
      </w:r>
      <w:r w:rsidRPr="00CA7EE5">
        <w:rPr>
          <w:rFonts w:eastAsia="Calibri"/>
          <w:lang w:eastAsia="en-US"/>
        </w:rPr>
        <w:t xml:space="preserve">Набір для молекулярно-генетичного </w:t>
      </w:r>
      <w:proofErr w:type="spellStart"/>
      <w:r w:rsidRPr="00CA7EE5">
        <w:rPr>
          <w:rFonts w:eastAsia="Calibri"/>
          <w:lang w:eastAsia="en-US"/>
        </w:rPr>
        <w:t>типування</w:t>
      </w:r>
      <w:proofErr w:type="spellEnd"/>
      <w:r w:rsidRPr="00CA7EE5">
        <w:rPr>
          <w:rFonts w:eastAsia="Calibri"/>
          <w:lang w:eastAsia="en-US"/>
        </w:rPr>
        <w:t xml:space="preserve"> HLA Класу І локусу В методом зворотного SSO.  Набір  повинен містить </w:t>
      </w:r>
      <w:proofErr w:type="spellStart"/>
      <w:r w:rsidRPr="00CA7EE5">
        <w:rPr>
          <w:rFonts w:eastAsia="Calibri"/>
          <w:lang w:eastAsia="en-US"/>
        </w:rPr>
        <w:t>олігонуклеотидні</w:t>
      </w:r>
      <w:proofErr w:type="spellEnd"/>
      <w:r w:rsidRPr="00CA7EE5">
        <w:rPr>
          <w:rFonts w:eastAsia="Calibri"/>
          <w:lang w:eastAsia="en-US"/>
        </w:rPr>
        <w:t xml:space="preserve"> зонди, що дозволяють </w:t>
      </w:r>
      <w:proofErr w:type="spellStart"/>
      <w:r w:rsidRPr="00CA7EE5">
        <w:rPr>
          <w:rFonts w:eastAsia="Calibri"/>
          <w:lang w:eastAsia="en-US"/>
        </w:rPr>
        <w:t>типування</w:t>
      </w:r>
      <w:proofErr w:type="spellEnd"/>
      <w:r w:rsidRPr="00CA7EE5">
        <w:rPr>
          <w:rFonts w:eastAsia="Calibri"/>
          <w:lang w:eastAsia="en-US"/>
        </w:rPr>
        <w:t xml:space="preserve"> поширених (</w:t>
      </w:r>
      <w:proofErr w:type="spellStart"/>
      <w:r w:rsidRPr="00CA7EE5">
        <w:rPr>
          <w:rFonts w:eastAsia="Calibri"/>
          <w:lang w:eastAsia="en-US"/>
        </w:rPr>
        <w:t>Common</w:t>
      </w:r>
      <w:proofErr w:type="spellEnd"/>
      <w:r w:rsidRPr="00CA7EE5">
        <w:rPr>
          <w:rFonts w:eastAsia="Calibri"/>
          <w:lang w:eastAsia="en-US"/>
        </w:rPr>
        <w:t>), проміжних (</w:t>
      </w:r>
      <w:proofErr w:type="spellStart"/>
      <w:r w:rsidRPr="00CA7EE5">
        <w:rPr>
          <w:rFonts w:eastAsia="Calibri"/>
          <w:lang w:eastAsia="en-US"/>
        </w:rPr>
        <w:t>Intermediate</w:t>
      </w:r>
      <w:proofErr w:type="spellEnd"/>
      <w:r w:rsidRPr="00CA7EE5">
        <w:rPr>
          <w:rFonts w:eastAsia="Calibri"/>
          <w:lang w:eastAsia="en-US"/>
        </w:rPr>
        <w:t>) та добре задокументованих (</w:t>
      </w:r>
      <w:proofErr w:type="spellStart"/>
      <w:r w:rsidRPr="00CA7EE5">
        <w:rPr>
          <w:rFonts w:eastAsia="Calibri"/>
          <w:lang w:eastAsia="en-US"/>
        </w:rPr>
        <w:t>Well-Documented</w:t>
      </w:r>
      <w:proofErr w:type="spellEnd"/>
      <w:r w:rsidRPr="00CA7EE5">
        <w:rPr>
          <w:rFonts w:eastAsia="Calibri"/>
          <w:lang w:eastAsia="en-US"/>
        </w:rPr>
        <w:t>) алелів HLA відповідно до актуального каталогу CIWD. Набір повинен бути призначений для використання на аналізаторі LABScan3D™. Набір повинен бути розрахований на проведення 100 тестів.</w:t>
      </w:r>
    </w:p>
    <w:p w14:paraId="1E860FB6" w14:textId="77777777" w:rsidR="00CA7EE5" w:rsidRPr="00CA7EE5" w:rsidRDefault="00CA7EE5" w:rsidP="00CA7EE5">
      <w:pPr>
        <w:numPr>
          <w:ilvl w:val="0"/>
          <w:numId w:val="12"/>
        </w:numPr>
        <w:spacing w:after="160" w:line="256" w:lineRule="auto"/>
        <w:ind w:left="426" w:hanging="426"/>
        <w:contextualSpacing/>
        <w:jc w:val="both"/>
        <w:rPr>
          <w:rFonts w:eastAsia="Calibri"/>
          <w:b/>
          <w:lang w:eastAsia="en-US"/>
        </w:rPr>
      </w:pPr>
      <w:r w:rsidRPr="00CA7EE5">
        <w:rPr>
          <w:rFonts w:eastAsia="Calibri"/>
          <w:b/>
          <w:lang w:eastAsia="en-US"/>
        </w:rPr>
        <w:t xml:space="preserve">Набір  для </w:t>
      </w:r>
      <w:proofErr w:type="spellStart"/>
      <w:r w:rsidRPr="00CA7EE5">
        <w:rPr>
          <w:rFonts w:eastAsia="Calibri"/>
          <w:b/>
          <w:lang w:eastAsia="en-US"/>
        </w:rPr>
        <w:t>типування</w:t>
      </w:r>
      <w:proofErr w:type="spellEnd"/>
      <w:r w:rsidRPr="00CA7EE5">
        <w:rPr>
          <w:rFonts w:eastAsia="Calibri"/>
          <w:b/>
          <w:lang w:eastAsia="en-US"/>
        </w:rPr>
        <w:t xml:space="preserve"> </w:t>
      </w:r>
      <w:proofErr w:type="spellStart"/>
      <w:r w:rsidRPr="00CA7EE5">
        <w:rPr>
          <w:rFonts w:eastAsia="Calibri"/>
          <w:b/>
          <w:lang w:eastAsia="en-US"/>
        </w:rPr>
        <w:t>LABType</w:t>
      </w:r>
      <w:proofErr w:type="spellEnd"/>
      <w:r w:rsidRPr="00CA7EE5">
        <w:rPr>
          <w:rFonts w:eastAsia="Calibri"/>
          <w:b/>
          <w:lang w:eastAsia="en-US"/>
        </w:rPr>
        <w:t xml:space="preserve"> CWD </w:t>
      </w:r>
      <w:proofErr w:type="spellStart"/>
      <w:r w:rsidRPr="00CA7EE5">
        <w:rPr>
          <w:rFonts w:eastAsia="Calibri"/>
          <w:b/>
          <w:lang w:eastAsia="en-US"/>
        </w:rPr>
        <w:t>Class</w:t>
      </w:r>
      <w:proofErr w:type="spellEnd"/>
      <w:r w:rsidRPr="00CA7EE5">
        <w:rPr>
          <w:rFonts w:eastAsia="Calibri"/>
          <w:b/>
          <w:lang w:eastAsia="en-US"/>
        </w:rPr>
        <w:t xml:space="preserve"> I C </w:t>
      </w:r>
      <w:proofErr w:type="spellStart"/>
      <w:r w:rsidRPr="00CA7EE5">
        <w:rPr>
          <w:rFonts w:eastAsia="Calibri"/>
          <w:b/>
          <w:lang w:eastAsia="en-US"/>
        </w:rPr>
        <w:t>Locus</w:t>
      </w:r>
      <w:proofErr w:type="spellEnd"/>
      <w:r w:rsidRPr="00CA7EE5">
        <w:rPr>
          <w:rFonts w:eastAsia="Calibri"/>
          <w:b/>
          <w:lang w:eastAsia="en-US"/>
        </w:rPr>
        <w:t xml:space="preserve">, або еквівалент: </w:t>
      </w:r>
      <w:r w:rsidRPr="00CA7EE5">
        <w:rPr>
          <w:rFonts w:eastAsia="Calibri"/>
          <w:lang w:eastAsia="en-US"/>
        </w:rPr>
        <w:t xml:space="preserve">Набір для молекулярно-генетичного </w:t>
      </w:r>
      <w:proofErr w:type="spellStart"/>
      <w:r w:rsidRPr="00CA7EE5">
        <w:rPr>
          <w:rFonts w:eastAsia="Calibri"/>
          <w:lang w:eastAsia="en-US"/>
        </w:rPr>
        <w:t>типування</w:t>
      </w:r>
      <w:proofErr w:type="spellEnd"/>
      <w:r w:rsidRPr="00CA7EE5">
        <w:rPr>
          <w:rFonts w:eastAsia="Calibri"/>
          <w:lang w:eastAsia="en-US"/>
        </w:rPr>
        <w:t xml:space="preserve"> HLA Класу І локусу С методом зворотного SSO.  Набір повинен містить </w:t>
      </w:r>
      <w:proofErr w:type="spellStart"/>
      <w:r w:rsidRPr="00CA7EE5">
        <w:rPr>
          <w:rFonts w:eastAsia="Calibri"/>
          <w:lang w:eastAsia="en-US"/>
        </w:rPr>
        <w:t>олігонуклеотидні</w:t>
      </w:r>
      <w:proofErr w:type="spellEnd"/>
      <w:r w:rsidRPr="00CA7EE5">
        <w:rPr>
          <w:rFonts w:eastAsia="Calibri"/>
          <w:lang w:eastAsia="en-US"/>
        </w:rPr>
        <w:t xml:space="preserve"> зонди, що дозволяють </w:t>
      </w:r>
      <w:proofErr w:type="spellStart"/>
      <w:r w:rsidRPr="00CA7EE5">
        <w:rPr>
          <w:rFonts w:eastAsia="Calibri"/>
          <w:lang w:eastAsia="en-US"/>
        </w:rPr>
        <w:t>типування</w:t>
      </w:r>
      <w:proofErr w:type="spellEnd"/>
      <w:r w:rsidRPr="00CA7EE5">
        <w:rPr>
          <w:rFonts w:eastAsia="Calibri"/>
          <w:lang w:eastAsia="en-US"/>
        </w:rPr>
        <w:t xml:space="preserve"> поширених (</w:t>
      </w:r>
      <w:proofErr w:type="spellStart"/>
      <w:r w:rsidRPr="00CA7EE5">
        <w:rPr>
          <w:rFonts w:eastAsia="Calibri"/>
          <w:lang w:eastAsia="en-US"/>
        </w:rPr>
        <w:t>Common</w:t>
      </w:r>
      <w:proofErr w:type="spellEnd"/>
      <w:r w:rsidRPr="00CA7EE5">
        <w:rPr>
          <w:rFonts w:eastAsia="Calibri"/>
          <w:lang w:eastAsia="en-US"/>
        </w:rPr>
        <w:t>), проміжних (</w:t>
      </w:r>
      <w:proofErr w:type="spellStart"/>
      <w:r w:rsidRPr="00CA7EE5">
        <w:rPr>
          <w:rFonts w:eastAsia="Calibri"/>
          <w:lang w:eastAsia="en-US"/>
        </w:rPr>
        <w:t>Intermediate</w:t>
      </w:r>
      <w:proofErr w:type="spellEnd"/>
      <w:r w:rsidRPr="00CA7EE5">
        <w:rPr>
          <w:rFonts w:eastAsia="Calibri"/>
          <w:lang w:eastAsia="en-US"/>
        </w:rPr>
        <w:t>) та добре задокументованих (</w:t>
      </w:r>
      <w:proofErr w:type="spellStart"/>
      <w:r w:rsidRPr="00CA7EE5">
        <w:rPr>
          <w:rFonts w:eastAsia="Calibri"/>
          <w:lang w:eastAsia="en-US"/>
        </w:rPr>
        <w:t>Well-Documented</w:t>
      </w:r>
      <w:proofErr w:type="spellEnd"/>
      <w:r w:rsidRPr="00CA7EE5">
        <w:rPr>
          <w:rFonts w:eastAsia="Calibri"/>
          <w:lang w:eastAsia="en-US"/>
        </w:rPr>
        <w:t>) алелів HLA відповідно до актуального каталогу CIWD. Набір повинен бути призначений для використання на аналізаторі LABScan3D™. Набір повинен бути розрахований на проведення 100 тестів.</w:t>
      </w:r>
    </w:p>
    <w:p w14:paraId="18157D88" w14:textId="77777777" w:rsidR="00CA7EE5" w:rsidRPr="00CA7EE5" w:rsidRDefault="00CA7EE5" w:rsidP="00CA7EE5">
      <w:pPr>
        <w:numPr>
          <w:ilvl w:val="0"/>
          <w:numId w:val="12"/>
        </w:numPr>
        <w:spacing w:after="160" w:line="256" w:lineRule="auto"/>
        <w:ind w:left="426" w:hanging="426"/>
        <w:contextualSpacing/>
        <w:jc w:val="both"/>
        <w:rPr>
          <w:rFonts w:eastAsia="Calibri"/>
          <w:b/>
          <w:lang w:eastAsia="en-US"/>
        </w:rPr>
      </w:pPr>
      <w:r w:rsidRPr="00CA7EE5">
        <w:rPr>
          <w:rFonts w:eastAsia="Calibri"/>
          <w:b/>
          <w:lang w:eastAsia="en-US"/>
        </w:rPr>
        <w:t xml:space="preserve">Набір для </w:t>
      </w:r>
      <w:proofErr w:type="spellStart"/>
      <w:r w:rsidRPr="00CA7EE5">
        <w:rPr>
          <w:rFonts w:eastAsia="Calibri"/>
          <w:b/>
          <w:lang w:eastAsia="en-US"/>
        </w:rPr>
        <w:t>типування</w:t>
      </w:r>
      <w:proofErr w:type="spellEnd"/>
      <w:r w:rsidRPr="00CA7EE5">
        <w:rPr>
          <w:rFonts w:eastAsia="Calibri"/>
          <w:b/>
          <w:lang w:eastAsia="en-US"/>
        </w:rPr>
        <w:t xml:space="preserve"> </w:t>
      </w:r>
      <w:proofErr w:type="spellStart"/>
      <w:r w:rsidRPr="00CA7EE5">
        <w:rPr>
          <w:rFonts w:eastAsia="Calibri"/>
          <w:b/>
          <w:lang w:eastAsia="en-US"/>
        </w:rPr>
        <w:t>LABType</w:t>
      </w:r>
      <w:proofErr w:type="spellEnd"/>
      <w:r w:rsidRPr="00CA7EE5">
        <w:rPr>
          <w:rFonts w:eastAsia="Calibri"/>
          <w:b/>
          <w:lang w:eastAsia="en-US"/>
        </w:rPr>
        <w:t xml:space="preserve"> CWD </w:t>
      </w:r>
      <w:proofErr w:type="spellStart"/>
      <w:r w:rsidRPr="00CA7EE5">
        <w:rPr>
          <w:rFonts w:eastAsia="Calibri"/>
          <w:b/>
          <w:lang w:eastAsia="en-US"/>
        </w:rPr>
        <w:t>Class</w:t>
      </w:r>
      <w:proofErr w:type="spellEnd"/>
      <w:r w:rsidRPr="00CA7EE5">
        <w:rPr>
          <w:rFonts w:eastAsia="Calibri"/>
          <w:b/>
          <w:lang w:eastAsia="en-US"/>
        </w:rPr>
        <w:t xml:space="preserve"> II DRB1 </w:t>
      </w:r>
      <w:proofErr w:type="spellStart"/>
      <w:r w:rsidRPr="00CA7EE5">
        <w:rPr>
          <w:rFonts w:eastAsia="Calibri"/>
          <w:b/>
          <w:lang w:eastAsia="en-US"/>
        </w:rPr>
        <w:t>Locus</w:t>
      </w:r>
      <w:proofErr w:type="spellEnd"/>
      <w:r w:rsidRPr="00CA7EE5">
        <w:rPr>
          <w:rFonts w:eastAsia="Calibri"/>
          <w:b/>
          <w:lang w:eastAsia="en-US"/>
        </w:rPr>
        <w:t xml:space="preserve">, або еквівалент: </w:t>
      </w:r>
      <w:r w:rsidRPr="00CA7EE5">
        <w:rPr>
          <w:rFonts w:eastAsia="Calibri"/>
          <w:lang w:eastAsia="en-US"/>
        </w:rPr>
        <w:t xml:space="preserve">Набір для молекулярно-генетичного </w:t>
      </w:r>
      <w:proofErr w:type="spellStart"/>
      <w:r w:rsidRPr="00CA7EE5">
        <w:rPr>
          <w:rFonts w:eastAsia="Calibri"/>
          <w:lang w:eastAsia="en-US"/>
        </w:rPr>
        <w:t>типування</w:t>
      </w:r>
      <w:proofErr w:type="spellEnd"/>
      <w:r w:rsidRPr="00CA7EE5">
        <w:rPr>
          <w:rFonts w:eastAsia="Calibri"/>
          <w:lang w:eastAsia="en-US"/>
        </w:rPr>
        <w:t xml:space="preserve"> HLA Класу ІІ локусу DRB1 методом зворотного SSO. Набір </w:t>
      </w:r>
      <w:proofErr w:type="spellStart"/>
      <w:r w:rsidRPr="00CA7EE5">
        <w:rPr>
          <w:rFonts w:eastAsia="Calibri"/>
          <w:lang w:eastAsia="en-US"/>
        </w:rPr>
        <w:t>поивнен</w:t>
      </w:r>
      <w:proofErr w:type="spellEnd"/>
      <w:r w:rsidRPr="00CA7EE5">
        <w:rPr>
          <w:rFonts w:eastAsia="Calibri"/>
          <w:lang w:eastAsia="en-US"/>
        </w:rPr>
        <w:t xml:space="preserve"> містить </w:t>
      </w:r>
      <w:proofErr w:type="spellStart"/>
      <w:r w:rsidRPr="00CA7EE5">
        <w:rPr>
          <w:rFonts w:eastAsia="Calibri"/>
          <w:lang w:eastAsia="en-US"/>
        </w:rPr>
        <w:t>олігонуклеотидні</w:t>
      </w:r>
      <w:proofErr w:type="spellEnd"/>
      <w:r w:rsidRPr="00CA7EE5">
        <w:rPr>
          <w:rFonts w:eastAsia="Calibri"/>
          <w:lang w:eastAsia="en-US"/>
        </w:rPr>
        <w:t xml:space="preserve"> зонди, що дозволяють </w:t>
      </w:r>
      <w:proofErr w:type="spellStart"/>
      <w:r w:rsidRPr="00CA7EE5">
        <w:rPr>
          <w:rFonts w:eastAsia="Calibri"/>
          <w:lang w:eastAsia="en-US"/>
        </w:rPr>
        <w:t>типування</w:t>
      </w:r>
      <w:proofErr w:type="spellEnd"/>
      <w:r w:rsidRPr="00CA7EE5">
        <w:rPr>
          <w:rFonts w:eastAsia="Calibri"/>
          <w:lang w:eastAsia="en-US"/>
        </w:rPr>
        <w:t xml:space="preserve"> поширених (</w:t>
      </w:r>
      <w:proofErr w:type="spellStart"/>
      <w:r w:rsidRPr="00CA7EE5">
        <w:rPr>
          <w:rFonts w:eastAsia="Calibri"/>
          <w:lang w:eastAsia="en-US"/>
        </w:rPr>
        <w:t>Common</w:t>
      </w:r>
      <w:proofErr w:type="spellEnd"/>
      <w:r w:rsidRPr="00CA7EE5">
        <w:rPr>
          <w:rFonts w:eastAsia="Calibri"/>
          <w:lang w:eastAsia="en-US"/>
        </w:rPr>
        <w:t>), проміжних (</w:t>
      </w:r>
      <w:proofErr w:type="spellStart"/>
      <w:r w:rsidRPr="00CA7EE5">
        <w:rPr>
          <w:rFonts w:eastAsia="Calibri"/>
          <w:lang w:eastAsia="en-US"/>
        </w:rPr>
        <w:t>Intermediate</w:t>
      </w:r>
      <w:proofErr w:type="spellEnd"/>
      <w:r w:rsidRPr="00CA7EE5">
        <w:rPr>
          <w:rFonts w:eastAsia="Calibri"/>
          <w:lang w:eastAsia="en-US"/>
        </w:rPr>
        <w:t>) та добре задокументованих (</w:t>
      </w:r>
      <w:proofErr w:type="spellStart"/>
      <w:r w:rsidRPr="00CA7EE5">
        <w:rPr>
          <w:rFonts w:eastAsia="Calibri"/>
          <w:lang w:eastAsia="en-US"/>
        </w:rPr>
        <w:t>Well-Documented</w:t>
      </w:r>
      <w:proofErr w:type="spellEnd"/>
      <w:r w:rsidRPr="00CA7EE5">
        <w:rPr>
          <w:rFonts w:eastAsia="Calibri"/>
          <w:lang w:eastAsia="en-US"/>
        </w:rPr>
        <w:t xml:space="preserve">) алелів HLA відповідно до актуального каталогу CIWD.  Набір повинен бути призначений для використання на аналізаторі LABScan3D™. Набір </w:t>
      </w:r>
      <w:proofErr w:type="spellStart"/>
      <w:r w:rsidRPr="00CA7EE5">
        <w:rPr>
          <w:rFonts w:eastAsia="Calibri"/>
          <w:lang w:eastAsia="en-US"/>
        </w:rPr>
        <w:t>поивне</w:t>
      </w:r>
      <w:proofErr w:type="spellEnd"/>
      <w:r w:rsidRPr="00CA7EE5">
        <w:rPr>
          <w:rFonts w:eastAsia="Calibri"/>
          <w:lang w:eastAsia="en-US"/>
        </w:rPr>
        <w:t xml:space="preserve"> бути розрахований на проведення 100 тестів.</w:t>
      </w:r>
    </w:p>
    <w:p w14:paraId="0B7D77AB" w14:textId="77777777" w:rsidR="00CA7EE5" w:rsidRPr="00CA7EE5" w:rsidRDefault="00CA7EE5" w:rsidP="00CA7EE5">
      <w:pPr>
        <w:numPr>
          <w:ilvl w:val="0"/>
          <w:numId w:val="12"/>
        </w:numPr>
        <w:spacing w:after="160" w:line="256" w:lineRule="auto"/>
        <w:ind w:left="426" w:hanging="426"/>
        <w:contextualSpacing/>
        <w:jc w:val="both"/>
        <w:rPr>
          <w:rFonts w:eastAsia="Calibri"/>
          <w:b/>
          <w:lang w:eastAsia="en-US"/>
        </w:rPr>
      </w:pPr>
      <w:r w:rsidRPr="00CA7EE5">
        <w:rPr>
          <w:rFonts w:eastAsia="Calibri"/>
          <w:b/>
          <w:lang w:eastAsia="en-US"/>
        </w:rPr>
        <w:lastRenderedPageBreak/>
        <w:t xml:space="preserve">Набір  для </w:t>
      </w:r>
      <w:proofErr w:type="spellStart"/>
      <w:r w:rsidRPr="00CA7EE5">
        <w:rPr>
          <w:rFonts w:eastAsia="Calibri"/>
          <w:b/>
          <w:lang w:eastAsia="en-US"/>
        </w:rPr>
        <w:t>типування</w:t>
      </w:r>
      <w:proofErr w:type="spellEnd"/>
      <w:r w:rsidRPr="00CA7EE5">
        <w:rPr>
          <w:rFonts w:eastAsia="Calibri"/>
          <w:b/>
          <w:lang w:eastAsia="en-US"/>
        </w:rPr>
        <w:t xml:space="preserve"> </w:t>
      </w:r>
      <w:proofErr w:type="spellStart"/>
      <w:r w:rsidRPr="00CA7EE5">
        <w:rPr>
          <w:rFonts w:eastAsia="Calibri"/>
          <w:b/>
          <w:lang w:eastAsia="en-US"/>
        </w:rPr>
        <w:t>LABType</w:t>
      </w:r>
      <w:proofErr w:type="spellEnd"/>
      <w:r w:rsidRPr="00CA7EE5">
        <w:rPr>
          <w:rFonts w:eastAsia="Calibri"/>
          <w:b/>
          <w:lang w:eastAsia="en-US"/>
        </w:rPr>
        <w:t xml:space="preserve"> SSO </w:t>
      </w:r>
      <w:proofErr w:type="spellStart"/>
      <w:r w:rsidRPr="00CA7EE5">
        <w:rPr>
          <w:rFonts w:eastAsia="Calibri"/>
          <w:b/>
          <w:lang w:eastAsia="en-US"/>
        </w:rPr>
        <w:t>Class</w:t>
      </w:r>
      <w:proofErr w:type="spellEnd"/>
      <w:r w:rsidRPr="00CA7EE5">
        <w:rPr>
          <w:rFonts w:eastAsia="Calibri"/>
          <w:b/>
          <w:lang w:eastAsia="en-US"/>
        </w:rPr>
        <w:t xml:space="preserve"> II DQA1/DQB1 </w:t>
      </w:r>
      <w:proofErr w:type="spellStart"/>
      <w:r w:rsidRPr="00CA7EE5">
        <w:rPr>
          <w:rFonts w:eastAsia="Calibri"/>
          <w:b/>
          <w:lang w:eastAsia="en-US"/>
        </w:rPr>
        <w:t>Locus</w:t>
      </w:r>
      <w:proofErr w:type="spellEnd"/>
      <w:r w:rsidRPr="00CA7EE5">
        <w:rPr>
          <w:rFonts w:eastAsia="Calibri"/>
          <w:b/>
          <w:lang w:eastAsia="en-US"/>
        </w:rPr>
        <w:t xml:space="preserve">, або еквівалент: </w:t>
      </w:r>
      <w:r w:rsidRPr="00CA7EE5">
        <w:rPr>
          <w:rFonts w:eastAsia="Calibri"/>
          <w:lang w:eastAsia="en-US"/>
        </w:rPr>
        <w:t xml:space="preserve">Набір для молекулярно-генетичного </w:t>
      </w:r>
      <w:proofErr w:type="spellStart"/>
      <w:r w:rsidRPr="00CA7EE5">
        <w:rPr>
          <w:rFonts w:eastAsia="Calibri"/>
          <w:lang w:eastAsia="en-US"/>
        </w:rPr>
        <w:t>типування</w:t>
      </w:r>
      <w:proofErr w:type="spellEnd"/>
      <w:r w:rsidRPr="00CA7EE5">
        <w:rPr>
          <w:rFonts w:eastAsia="Calibri"/>
          <w:lang w:eastAsia="en-US"/>
        </w:rPr>
        <w:t xml:space="preserve"> HLA Класу ІІ локусу DQA1/DQB1 методом зворотного SSO. Набір повинен містить </w:t>
      </w:r>
      <w:proofErr w:type="spellStart"/>
      <w:r w:rsidRPr="00CA7EE5">
        <w:rPr>
          <w:rFonts w:eastAsia="Calibri"/>
          <w:lang w:eastAsia="en-US"/>
        </w:rPr>
        <w:t>олігонуклеотидні</w:t>
      </w:r>
      <w:proofErr w:type="spellEnd"/>
      <w:r w:rsidRPr="00CA7EE5">
        <w:rPr>
          <w:rFonts w:eastAsia="Calibri"/>
          <w:lang w:eastAsia="en-US"/>
        </w:rPr>
        <w:t xml:space="preserve"> зонди, що дозволяють </w:t>
      </w:r>
      <w:proofErr w:type="spellStart"/>
      <w:r w:rsidRPr="00CA7EE5">
        <w:rPr>
          <w:rFonts w:eastAsia="Calibri"/>
          <w:lang w:eastAsia="en-US"/>
        </w:rPr>
        <w:t>типування</w:t>
      </w:r>
      <w:proofErr w:type="spellEnd"/>
      <w:r w:rsidRPr="00CA7EE5">
        <w:rPr>
          <w:rFonts w:eastAsia="Calibri"/>
          <w:lang w:eastAsia="en-US"/>
        </w:rPr>
        <w:t xml:space="preserve"> поширених (</w:t>
      </w:r>
      <w:proofErr w:type="spellStart"/>
      <w:r w:rsidRPr="00CA7EE5">
        <w:rPr>
          <w:rFonts w:eastAsia="Calibri"/>
          <w:lang w:eastAsia="en-US"/>
        </w:rPr>
        <w:t>Common</w:t>
      </w:r>
      <w:proofErr w:type="spellEnd"/>
      <w:r w:rsidRPr="00CA7EE5">
        <w:rPr>
          <w:rFonts w:eastAsia="Calibri"/>
          <w:lang w:eastAsia="en-US"/>
        </w:rPr>
        <w:t>), проміжних (</w:t>
      </w:r>
      <w:proofErr w:type="spellStart"/>
      <w:r w:rsidRPr="00CA7EE5">
        <w:rPr>
          <w:rFonts w:eastAsia="Calibri"/>
          <w:lang w:eastAsia="en-US"/>
        </w:rPr>
        <w:t>Intermediate</w:t>
      </w:r>
      <w:proofErr w:type="spellEnd"/>
      <w:r w:rsidRPr="00CA7EE5">
        <w:rPr>
          <w:rFonts w:eastAsia="Calibri"/>
          <w:lang w:eastAsia="en-US"/>
        </w:rPr>
        <w:t>) та добре задокументованих (</w:t>
      </w:r>
      <w:proofErr w:type="spellStart"/>
      <w:r w:rsidRPr="00CA7EE5">
        <w:rPr>
          <w:rFonts w:eastAsia="Calibri"/>
          <w:lang w:eastAsia="en-US"/>
        </w:rPr>
        <w:t>Well-Documented</w:t>
      </w:r>
      <w:proofErr w:type="spellEnd"/>
      <w:r w:rsidRPr="00CA7EE5">
        <w:rPr>
          <w:rFonts w:eastAsia="Calibri"/>
          <w:lang w:eastAsia="en-US"/>
        </w:rPr>
        <w:t>) алелів HLA відповідно до актуального каталогу CIWD. Набір повинен бути призначений для використання на аналізаторі LABScan3D™. Набір повинен бути розрахований на проведення 100 тестів.</w:t>
      </w:r>
    </w:p>
    <w:p w14:paraId="6181402F" w14:textId="77777777" w:rsidR="00CA7EE5" w:rsidRPr="00CA7EE5" w:rsidRDefault="00CA7EE5" w:rsidP="00CA7EE5">
      <w:pPr>
        <w:numPr>
          <w:ilvl w:val="0"/>
          <w:numId w:val="12"/>
        </w:numPr>
        <w:spacing w:after="160" w:line="256" w:lineRule="auto"/>
        <w:ind w:left="426" w:hanging="426"/>
        <w:contextualSpacing/>
        <w:jc w:val="both"/>
        <w:rPr>
          <w:rFonts w:eastAsia="Calibri"/>
          <w:b/>
          <w:lang w:eastAsia="en-US"/>
        </w:rPr>
      </w:pPr>
      <w:r w:rsidRPr="00CA7EE5">
        <w:rPr>
          <w:rFonts w:eastAsia="Calibri"/>
          <w:b/>
          <w:lang w:eastAsia="en-US"/>
        </w:rPr>
        <w:t xml:space="preserve">Набір </w:t>
      </w:r>
      <w:proofErr w:type="spellStart"/>
      <w:r w:rsidRPr="00CA7EE5">
        <w:rPr>
          <w:rFonts w:eastAsia="Calibri"/>
          <w:b/>
          <w:lang w:eastAsia="en-US"/>
        </w:rPr>
        <w:t>AllType</w:t>
      </w:r>
      <w:proofErr w:type="spellEnd"/>
      <w:r w:rsidRPr="00CA7EE5">
        <w:rPr>
          <w:rFonts w:eastAsia="Calibri"/>
          <w:b/>
          <w:lang w:eastAsia="en-US"/>
        </w:rPr>
        <w:t xml:space="preserve"> </w:t>
      </w:r>
      <w:proofErr w:type="spellStart"/>
      <w:r w:rsidRPr="00CA7EE5">
        <w:rPr>
          <w:rFonts w:eastAsia="Calibri"/>
          <w:b/>
          <w:lang w:eastAsia="en-US"/>
        </w:rPr>
        <w:t>FASTplex</w:t>
      </w:r>
      <w:proofErr w:type="spellEnd"/>
      <w:r w:rsidRPr="00CA7EE5">
        <w:rPr>
          <w:rFonts w:eastAsia="Calibri"/>
          <w:b/>
          <w:lang w:eastAsia="en-US"/>
        </w:rPr>
        <w:t xml:space="preserve"> NGS 11 </w:t>
      </w:r>
      <w:proofErr w:type="spellStart"/>
      <w:r w:rsidRPr="00CA7EE5">
        <w:rPr>
          <w:rFonts w:eastAsia="Calibri"/>
          <w:b/>
          <w:lang w:eastAsia="en-US"/>
        </w:rPr>
        <w:t>Loci</w:t>
      </w:r>
      <w:proofErr w:type="spellEnd"/>
      <w:r w:rsidRPr="00CA7EE5">
        <w:rPr>
          <w:rFonts w:eastAsia="Calibri"/>
          <w:b/>
          <w:lang w:eastAsia="en-US"/>
        </w:rPr>
        <w:t xml:space="preserve"> </w:t>
      </w:r>
      <w:proofErr w:type="spellStart"/>
      <w:r w:rsidRPr="00CA7EE5">
        <w:rPr>
          <w:rFonts w:eastAsia="Calibri"/>
          <w:b/>
          <w:lang w:eastAsia="en-US"/>
        </w:rPr>
        <w:t>Kit</w:t>
      </w:r>
      <w:proofErr w:type="spellEnd"/>
      <w:r w:rsidRPr="00CA7EE5">
        <w:rPr>
          <w:rFonts w:eastAsia="Calibri"/>
          <w:b/>
          <w:lang w:eastAsia="en-US"/>
        </w:rPr>
        <w:t xml:space="preserve">, або еквівалент: </w:t>
      </w:r>
      <w:r w:rsidRPr="00CA7EE5">
        <w:rPr>
          <w:rFonts w:eastAsia="Calibri"/>
          <w:lang w:eastAsia="en-US"/>
        </w:rPr>
        <w:t xml:space="preserve">Набір для проведення молекулярно-генетичного </w:t>
      </w:r>
      <w:proofErr w:type="spellStart"/>
      <w:r w:rsidRPr="00CA7EE5">
        <w:rPr>
          <w:rFonts w:eastAsia="Calibri"/>
          <w:lang w:eastAsia="en-US"/>
        </w:rPr>
        <w:t>типування</w:t>
      </w:r>
      <w:proofErr w:type="spellEnd"/>
      <w:r w:rsidRPr="00CA7EE5">
        <w:rPr>
          <w:rFonts w:eastAsia="Calibri"/>
          <w:lang w:eastAsia="en-US"/>
        </w:rPr>
        <w:t xml:space="preserve"> 11 локусів HLA (HLA-A, -B, -C, -DRB1, -DRB3, -DRB4, -DRB5, -DQA1, -DQB1, -DPA1 та -DPB1) з високою роздільною здатністю методом </w:t>
      </w:r>
      <w:proofErr w:type="spellStart"/>
      <w:r w:rsidRPr="00CA7EE5">
        <w:rPr>
          <w:rFonts w:eastAsia="Calibri"/>
          <w:lang w:eastAsia="en-US"/>
        </w:rPr>
        <w:t>секвенування</w:t>
      </w:r>
      <w:proofErr w:type="spellEnd"/>
      <w:r w:rsidRPr="00CA7EE5">
        <w:rPr>
          <w:rFonts w:eastAsia="Calibri"/>
          <w:lang w:eastAsia="en-US"/>
        </w:rPr>
        <w:t xml:space="preserve"> нового покоління.  Набір повинен бути призначений для використання на системі </w:t>
      </w:r>
      <w:proofErr w:type="spellStart"/>
      <w:r w:rsidRPr="00CA7EE5">
        <w:rPr>
          <w:rFonts w:eastAsia="Calibri"/>
          <w:lang w:eastAsia="en-US"/>
        </w:rPr>
        <w:t>секвенування</w:t>
      </w:r>
      <w:proofErr w:type="spellEnd"/>
      <w:r w:rsidRPr="00CA7EE5">
        <w:rPr>
          <w:rFonts w:eastAsia="Calibri"/>
          <w:lang w:eastAsia="en-US"/>
        </w:rPr>
        <w:t xml:space="preserve"> </w:t>
      </w:r>
      <w:proofErr w:type="spellStart"/>
      <w:r w:rsidRPr="00CA7EE5">
        <w:rPr>
          <w:rFonts w:eastAsia="Calibri"/>
          <w:lang w:eastAsia="en-US"/>
        </w:rPr>
        <w:t>Ion</w:t>
      </w:r>
      <w:proofErr w:type="spellEnd"/>
      <w:r w:rsidRPr="00CA7EE5">
        <w:rPr>
          <w:rFonts w:eastAsia="Calibri"/>
          <w:lang w:eastAsia="en-US"/>
        </w:rPr>
        <w:t xml:space="preserve"> </w:t>
      </w:r>
      <w:proofErr w:type="spellStart"/>
      <w:r w:rsidRPr="00CA7EE5">
        <w:rPr>
          <w:rFonts w:eastAsia="Calibri"/>
          <w:lang w:eastAsia="en-US"/>
        </w:rPr>
        <w:t>Torrent</w:t>
      </w:r>
      <w:proofErr w:type="spellEnd"/>
      <w:r w:rsidRPr="00CA7EE5">
        <w:rPr>
          <w:rFonts w:eastAsia="Calibri"/>
          <w:lang w:eastAsia="en-US"/>
        </w:rPr>
        <w:t>.  Набір повинен бути розрахований на проведення 96 тестів.</w:t>
      </w:r>
    </w:p>
    <w:p w14:paraId="216FC600" w14:textId="2ED60092" w:rsidR="00CA7EE5" w:rsidRPr="00CA7EE5" w:rsidRDefault="00CA7EE5" w:rsidP="00CA7EE5">
      <w:pPr>
        <w:numPr>
          <w:ilvl w:val="0"/>
          <w:numId w:val="12"/>
        </w:numPr>
        <w:spacing w:after="160" w:line="256" w:lineRule="auto"/>
        <w:ind w:left="426" w:hanging="426"/>
        <w:contextualSpacing/>
        <w:jc w:val="both"/>
        <w:rPr>
          <w:rFonts w:eastAsia="Calibri"/>
          <w:b/>
          <w:lang w:eastAsia="en-US"/>
        </w:rPr>
      </w:pPr>
      <w:r w:rsidRPr="00CA7EE5">
        <w:rPr>
          <w:rFonts w:eastAsia="Calibri"/>
          <w:b/>
          <w:lang w:eastAsia="en-US"/>
        </w:rPr>
        <w:t xml:space="preserve">Набір для </w:t>
      </w:r>
      <w:proofErr w:type="spellStart"/>
      <w:r w:rsidRPr="00CA7EE5">
        <w:rPr>
          <w:rFonts w:eastAsia="Calibri"/>
          <w:b/>
          <w:lang w:eastAsia="en-US"/>
        </w:rPr>
        <w:t>типування</w:t>
      </w:r>
      <w:proofErr w:type="spellEnd"/>
      <w:r w:rsidRPr="00CA7EE5">
        <w:rPr>
          <w:rFonts w:eastAsia="Calibri"/>
          <w:b/>
          <w:lang w:eastAsia="en-US"/>
        </w:rPr>
        <w:t xml:space="preserve"> HLA </w:t>
      </w:r>
      <w:proofErr w:type="spellStart"/>
      <w:r w:rsidRPr="00CA7EE5">
        <w:rPr>
          <w:rFonts w:eastAsia="Calibri"/>
          <w:b/>
          <w:lang w:eastAsia="en-US"/>
        </w:rPr>
        <w:t>Class</w:t>
      </w:r>
      <w:proofErr w:type="spellEnd"/>
      <w:r w:rsidRPr="00CA7EE5">
        <w:rPr>
          <w:rFonts w:eastAsia="Calibri"/>
          <w:b/>
          <w:lang w:eastAsia="en-US"/>
        </w:rPr>
        <w:t xml:space="preserve"> I: </w:t>
      </w:r>
      <w:r w:rsidRPr="00CA7EE5">
        <w:rPr>
          <w:rFonts w:eastAsia="Calibri"/>
          <w:lang w:eastAsia="en-US"/>
        </w:rPr>
        <w:t xml:space="preserve">Набір для </w:t>
      </w:r>
      <w:proofErr w:type="spellStart"/>
      <w:r w:rsidRPr="00CA7EE5">
        <w:rPr>
          <w:rFonts w:eastAsia="Calibri"/>
          <w:lang w:eastAsia="en-US"/>
        </w:rPr>
        <w:t>типування</w:t>
      </w:r>
      <w:proofErr w:type="spellEnd"/>
      <w:r w:rsidRPr="00CA7EE5">
        <w:rPr>
          <w:rFonts w:eastAsia="Calibri"/>
          <w:lang w:eastAsia="en-US"/>
        </w:rPr>
        <w:t xml:space="preserve"> HLA класу І методом ПЛР із застосуванням специфічних </w:t>
      </w:r>
      <w:proofErr w:type="spellStart"/>
      <w:r w:rsidRPr="00CA7EE5">
        <w:rPr>
          <w:rFonts w:eastAsia="Calibri"/>
          <w:lang w:eastAsia="en-US"/>
        </w:rPr>
        <w:t>олігонуклеотидних</w:t>
      </w:r>
      <w:proofErr w:type="spellEnd"/>
      <w:r w:rsidRPr="00CA7EE5">
        <w:rPr>
          <w:rFonts w:eastAsia="Calibri"/>
          <w:lang w:eastAsia="en-US"/>
        </w:rPr>
        <w:t xml:space="preserve"> </w:t>
      </w:r>
      <w:proofErr w:type="spellStart"/>
      <w:r w:rsidRPr="00CA7EE5">
        <w:rPr>
          <w:rFonts w:eastAsia="Calibri"/>
          <w:lang w:eastAsia="en-US"/>
        </w:rPr>
        <w:t>праймерів</w:t>
      </w:r>
      <w:proofErr w:type="spellEnd"/>
      <w:r w:rsidRPr="00CA7EE5">
        <w:rPr>
          <w:rFonts w:eastAsia="Calibri"/>
          <w:lang w:eastAsia="en-US"/>
        </w:rPr>
        <w:t xml:space="preserve"> (SSP) з </w:t>
      </w:r>
      <w:proofErr w:type="spellStart"/>
      <w:r w:rsidRPr="00CA7EE5">
        <w:rPr>
          <w:rFonts w:eastAsia="Calibri"/>
          <w:lang w:eastAsia="en-US"/>
        </w:rPr>
        <w:t>детекцією</w:t>
      </w:r>
      <w:proofErr w:type="spellEnd"/>
      <w:r w:rsidRPr="00CA7EE5">
        <w:rPr>
          <w:rFonts w:eastAsia="Calibri"/>
          <w:lang w:eastAsia="en-US"/>
        </w:rPr>
        <w:t xml:space="preserve"> гель-електрофорезом. Набір повинен містить </w:t>
      </w:r>
      <w:proofErr w:type="spellStart"/>
      <w:r w:rsidRPr="00CA7EE5">
        <w:rPr>
          <w:rFonts w:eastAsia="Calibri"/>
          <w:lang w:eastAsia="en-US"/>
        </w:rPr>
        <w:t>Micro</w:t>
      </w:r>
      <w:proofErr w:type="spellEnd"/>
      <w:r w:rsidRPr="00CA7EE5">
        <w:rPr>
          <w:rFonts w:eastAsia="Calibri"/>
          <w:lang w:eastAsia="en-US"/>
        </w:rPr>
        <w:t xml:space="preserve"> SSP 96-лункові планшети з ДНК </w:t>
      </w:r>
      <w:proofErr w:type="spellStart"/>
      <w:r w:rsidRPr="00CA7EE5">
        <w:rPr>
          <w:rFonts w:eastAsia="Calibri"/>
          <w:lang w:eastAsia="en-US"/>
        </w:rPr>
        <w:t>праймерами</w:t>
      </w:r>
      <w:proofErr w:type="spellEnd"/>
      <w:r w:rsidRPr="00CA7EE5">
        <w:rPr>
          <w:rFonts w:eastAsia="Calibri"/>
          <w:lang w:eastAsia="en-US"/>
        </w:rPr>
        <w:t xml:space="preserve"> та внутрішнім контролем. Пробірки з D-mix. Плівки для планшетів.</w:t>
      </w:r>
    </w:p>
    <w:p w14:paraId="580BA67F" w14:textId="77777777" w:rsidR="00CA7EE5" w:rsidRPr="00CA7EE5" w:rsidRDefault="00CA7EE5" w:rsidP="00CA7EE5">
      <w:pPr>
        <w:numPr>
          <w:ilvl w:val="0"/>
          <w:numId w:val="12"/>
        </w:numPr>
        <w:spacing w:after="160" w:line="256" w:lineRule="auto"/>
        <w:ind w:left="426" w:hanging="426"/>
        <w:contextualSpacing/>
        <w:jc w:val="both"/>
        <w:rPr>
          <w:rFonts w:eastAsia="Calibri"/>
          <w:b/>
          <w:lang w:eastAsia="en-US"/>
        </w:rPr>
      </w:pPr>
      <w:r w:rsidRPr="00CA7EE5">
        <w:rPr>
          <w:rFonts w:eastAsia="Calibri"/>
          <w:b/>
          <w:lang w:eastAsia="en-US"/>
        </w:rPr>
        <w:t xml:space="preserve">Набір для </w:t>
      </w:r>
      <w:proofErr w:type="spellStart"/>
      <w:r w:rsidRPr="00CA7EE5">
        <w:rPr>
          <w:rFonts w:eastAsia="Calibri"/>
          <w:b/>
          <w:lang w:eastAsia="en-US"/>
        </w:rPr>
        <w:t>типування</w:t>
      </w:r>
      <w:proofErr w:type="spellEnd"/>
      <w:r w:rsidRPr="00CA7EE5">
        <w:rPr>
          <w:rFonts w:eastAsia="Calibri"/>
          <w:b/>
          <w:lang w:eastAsia="en-US"/>
        </w:rPr>
        <w:t xml:space="preserve"> HLA </w:t>
      </w:r>
      <w:proofErr w:type="spellStart"/>
      <w:r w:rsidRPr="00CA7EE5">
        <w:rPr>
          <w:rFonts w:eastAsia="Calibri"/>
          <w:b/>
          <w:lang w:eastAsia="en-US"/>
        </w:rPr>
        <w:t>Class</w:t>
      </w:r>
      <w:proofErr w:type="spellEnd"/>
      <w:r w:rsidRPr="00CA7EE5">
        <w:rPr>
          <w:rFonts w:eastAsia="Calibri"/>
          <w:b/>
          <w:lang w:eastAsia="en-US"/>
        </w:rPr>
        <w:t xml:space="preserve"> IІ:  </w:t>
      </w:r>
      <w:r w:rsidRPr="00CA7EE5">
        <w:rPr>
          <w:rFonts w:eastAsia="Calibri"/>
          <w:lang w:eastAsia="en-US"/>
        </w:rPr>
        <w:t xml:space="preserve">Набір для </w:t>
      </w:r>
      <w:proofErr w:type="spellStart"/>
      <w:r w:rsidRPr="00CA7EE5">
        <w:rPr>
          <w:rFonts w:eastAsia="Calibri"/>
          <w:lang w:eastAsia="en-US"/>
        </w:rPr>
        <w:t>типування</w:t>
      </w:r>
      <w:proofErr w:type="spellEnd"/>
      <w:r w:rsidRPr="00CA7EE5">
        <w:rPr>
          <w:rFonts w:eastAsia="Calibri"/>
          <w:lang w:eastAsia="en-US"/>
        </w:rPr>
        <w:t xml:space="preserve"> HLA класу ІІ методом ПЛР із застосуванням специфічних </w:t>
      </w:r>
      <w:proofErr w:type="spellStart"/>
      <w:r w:rsidRPr="00CA7EE5">
        <w:rPr>
          <w:rFonts w:eastAsia="Calibri"/>
          <w:lang w:eastAsia="en-US"/>
        </w:rPr>
        <w:t>олігонуклеотидних</w:t>
      </w:r>
      <w:proofErr w:type="spellEnd"/>
      <w:r w:rsidRPr="00CA7EE5">
        <w:rPr>
          <w:rFonts w:eastAsia="Calibri"/>
          <w:lang w:eastAsia="en-US"/>
        </w:rPr>
        <w:t xml:space="preserve"> </w:t>
      </w:r>
      <w:proofErr w:type="spellStart"/>
      <w:r w:rsidRPr="00CA7EE5">
        <w:rPr>
          <w:rFonts w:eastAsia="Calibri"/>
          <w:lang w:eastAsia="en-US"/>
        </w:rPr>
        <w:t>праймерів</w:t>
      </w:r>
      <w:proofErr w:type="spellEnd"/>
      <w:r w:rsidRPr="00CA7EE5">
        <w:rPr>
          <w:rFonts w:eastAsia="Calibri"/>
          <w:lang w:eastAsia="en-US"/>
        </w:rPr>
        <w:t xml:space="preserve"> (SSP) з </w:t>
      </w:r>
      <w:proofErr w:type="spellStart"/>
      <w:r w:rsidRPr="00CA7EE5">
        <w:rPr>
          <w:rFonts w:eastAsia="Calibri"/>
          <w:lang w:eastAsia="en-US"/>
        </w:rPr>
        <w:t>детекцією</w:t>
      </w:r>
      <w:proofErr w:type="spellEnd"/>
      <w:r w:rsidRPr="00CA7EE5">
        <w:rPr>
          <w:rFonts w:eastAsia="Calibri"/>
          <w:lang w:eastAsia="en-US"/>
        </w:rPr>
        <w:t xml:space="preserve"> гель-електрофорезом. Набір повинен містить </w:t>
      </w:r>
      <w:proofErr w:type="spellStart"/>
      <w:r w:rsidRPr="00CA7EE5">
        <w:rPr>
          <w:rFonts w:eastAsia="Calibri"/>
          <w:lang w:eastAsia="en-US"/>
        </w:rPr>
        <w:t>Micro</w:t>
      </w:r>
      <w:proofErr w:type="spellEnd"/>
      <w:r w:rsidRPr="00CA7EE5">
        <w:rPr>
          <w:rFonts w:eastAsia="Calibri"/>
          <w:lang w:eastAsia="en-US"/>
        </w:rPr>
        <w:t xml:space="preserve"> SSP 96-лункові планшети з ДНК </w:t>
      </w:r>
      <w:proofErr w:type="spellStart"/>
      <w:r w:rsidRPr="00CA7EE5">
        <w:rPr>
          <w:rFonts w:eastAsia="Calibri"/>
          <w:lang w:eastAsia="en-US"/>
        </w:rPr>
        <w:t>праймерами</w:t>
      </w:r>
      <w:proofErr w:type="spellEnd"/>
      <w:r w:rsidRPr="00CA7EE5">
        <w:rPr>
          <w:rFonts w:eastAsia="Calibri"/>
          <w:lang w:eastAsia="en-US"/>
        </w:rPr>
        <w:t xml:space="preserve"> та внутрішнім контролем. Пробірки з D-mix. Плівки для планшетів.</w:t>
      </w:r>
    </w:p>
    <w:p w14:paraId="51FF2E54" w14:textId="77777777" w:rsidR="00CA7EE5" w:rsidRPr="00CA7EE5" w:rsidRDefault="00CA7EE5" w:rsidP="00CA7EE5">
      <w:pPr>
        <w:numPr>
          <w:ilvl w:val="0"/>
          <w:numId w:val="12"/>
        </w:numPr>
        <w:spacing w:after="160" w:line="256" w:lineRule="auto"/>
        <w:ind w:left="426" w:hanging="426"/>
        <w:contextualSpacing/>
        <w:jc w:val="both"/>
        <w:rPr>
          <w:rFonts w:eastAsia="Calibri"/>
          <w:b/>
          <w:lang w:eastAsia="en-US"/>
        </w:rPr>
      </w:pPr>
      <w:r w:rsidRPr="00CA7EE5">
        <w:rPr>
          <w:rFonts w:eastAsia="Calibri"/>
          <w:b/>
          <w:lang w:eastAsia="en-US"/>
        </w:rPr>
        <w:t xml:space="preserve">Набір  для </w:t>
      </w:r>
      <w:proofErr w:type="spellStart"/>
      <w:r w:rsidRPr="00CA7EE5">
        <w:rPr>
          <w:rFonts w:eastAsia="Calibri"/>
          <w:b/>
          <w:lang w:eastAsia="en-US"/>
        </w:rPr>
        <w:t>типування</w:t>
      </w:r>
      <w:proofErr w:type="spellEnd"/>
      <w:r w:rsidRPr="00CA7EE5">
        <w:rPr>
          <w:rFonts w:eastAsia="Calibri"/>
          <w:b/>
          <w:lang w:eastAsia="en-US"/>
        </w:rPr>
        <w:t xml:space="preserve"> HLA-ABCDRDQB1: </w:t>
      </w:r>
      <w:r w:rsidRPr="00CA7EE5">
        <w:rPr>
          <w:rFonts w:eastAsia="Calibri"/>
          <w:lang w:eastAsia="en-US"/>
        </w:rPr>
        <w:t>Набір для HLA-</w:t>
      </w:r>
      <w:proofErr w:type="spellStart"/>
      <w:r w:rsidRPr="00CA7EE5">
        <w:rPr>
          <w:rFonts w:eastAsia="Calibri"/>
          <w:lang w:eastAsia="en-US"/>
        </w:rPr>
        <w:t>типування</w:t>
      </w:r>
      <w:proofErr w:type="spellEnd"/>
      <w:r w:rsidRPr="00CA7EE5">
        <w:rPr>
          <w:rFonts w:eastAsia="Calibri"/>
          <w:lang w:eastAsia="en-US"/>
        </w:rPr>
        <w:t xml:space="preserve"> локусів A, B, C, DRB1, DRB3/4/5, DQB1 методом ПЛР у реальному часі. Кожен планшет повинен містить висушені реагенти які складаються з набору </w:t>
      </w:r>
      <w:proofErr w:type="spellStart"/>
      <w:r w:rsidRPr="00CA7EE5">
        <w:rPr>
          <w:rFonts w:eastAsia="Calibri"/>
          <w:lang w:eastAsia="en-US"/>
        </w:rPr>
        <w:t>праймерів</w:t>
      </w:r>
      <w:proofErr w:type="spellEnd"/>
      <w:r w:rsidRPr="00CA7EE5">
        <w:rPr>
          <w:rFonts w:eastAsia="Calibri"/>
          <w:lang w:eastAsia="en-US"/>
        </w:rPr>
        <w:t xml:space="preserve"> зі специфічними послідовностями до  HLA алелів та внутрішнього контрольного </w:t>
      </w:r>
      <w:proofErr w:type="spellStart"/>
      <w:r w:rsidRPr="00CA7EE5">
        <w:rPr>
          <w:rFonts w:eastAsia="Calibri"/>
          <w:lang w:eastAsia="en-US"/>
        </w:rPr>
        <w:t>праймера</w:t>
      </w:r>
      <w:proofErr w:type="spellEnd"/>
      <w:r w:rsidRPr="00CA7EE5">
        <w:rPr>
          <w:rFonts w:eastAsia="Calibri"/>
          <w:lang w:eastAsia="en-US"/>
        </w:rPr>
        <w:t xml:space="preserve"> (NTC) для виявлення забруднення. Набір повинен містить готові до аналізу планшети формату 384 лунки, 10 шт. Кожен планшет повинен бути розрахований на </w:t>
      </w:r>
      <w:proofErr w:type="spellStart"/>
      <w:r w:rsidRPr="00CA7EE5">
        <w:rPr>
          <w:rFonts w:eastAsia="Calibri"/>
          <w:lang w:eastAsia="en-US"/>
        </w:rPr>
        <w:t>типування</w:t>
      </w:r>
      <w:proofErr w:type="spellEnd"/>
      <w:r w:rsidRPr="00CA7EE5">
        <w:rPr>
          <w:rFonts w:eastAsia="Calibri"/>
          <w:lang w:eastAsia="en-US"/>
        </w:rPr>
        <w:t xml:space="preserve"> одного зразка. Набір повинен бути розрахований на проведення 10 </w:t>
      </w:r>
      <w:proofErr w:type="spellStart"/>
      <w:r w:rsidRPr="00CA7EE5">
        <w:rPr>
          <w:rFonts w:eastAsia="Calibri"/>
          <w:lang w:eastAsia="en-US"/>
        </w:rPr>
        <w:t>типувань</w:t>
      </w:r>
      <w:proofErr w:type="spellEnd"/>
      <w:r w:rsidRPr="00CA7EE5">
        <w:rPr>
          <w:rFonts w:eastAsia="Calibri"/>
          <w:lang w:eastAsia="en-US"/>
        </w:rPr>
        <w:t>.</w:t>
      </w:r>
    </w:p>
    <w:bookmarkEnd w:id="1"/>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294859EA" w14:textId="12E0EF60" w:rsidR="00F86D66" w:rsidRDefault="00DB08EC" w:rsidP="007B270E">
      <w:pPr>
        <w:ind w:firstLine="708"/>
        <w:jc w:val="both"/>
        <w:rPr>
          <w:color w:val="000000"/>
        </w:rPr>
      </w:pPr>
      <w:r w:rsidRPr="00DB08EC">
        <w:rPr>
          <w:color w:val="000000"/>
        </w:rPr>
        <w:t xml:space="preserve">       Очікувана вартість предмета закупівлі</w:t>
      </w:r>
      <w:bookmarkStart w:id="2" w:name="n36"/>
      <w:bookmarkStart w:id="3" w:name="n1149"/>
      <w:bookmarkEnd w:id="2"/>
      <w:bookmarkEnd w:id="3"/>
      <w:r w:rsidRPr="00DB08EC">
        <w:rPr>
          <w:color w:val="000000"/>
        </w:rPr>
        <w:t xml:space="preserve"> склад</w:t>
      </w:r>
      <w:bookmarkStart w:id="4" w:name="_Hlk189123241"/>
      <w:r w:rsidRPr="00DB08EC">
        <w:rPr>
          <w:color w:val="000000"/>
        </w:rPr>
        <w:t>ає</w:t>
      </w:r>
      <w:r w:rsidR="00F86D66">
        <w:rPr>
          <w:color w:val="000000"/>
        </w:rPr>
        <w:t xml:space="preserve">: </w:t>
      </w:r>
      <w:r w:rsidR="00CA7EE5" w:rsidRPr="00CA7EE5">
        <w:rPr>
          <w:color w:val="000000"/>
        </w:rPr>
        <w:t>2</w:t>
      </w:r>
      <w:r w:rsidR="00CA7EE5">
        <w:rPr>
          <w:color w:val="000000"/>
        </w:rPr>
        <w:t> </w:t>
      </w:r>
      <w:r w:rsidR="00CA7EE5" w:rsidRPr="00CA7EE5">
        <w:rPr>
          <w:color w:val="000000"/>
        </w:rPr>
        <w:t>775</w:t>
      </w:r>
      <w:r w:rsidR="00CA7EE5">
        <w:rPr>
          <w:color w:val="000000"/>
        </w:rPr>
        <w:t> </w:t>
      </w:r>
      <w:r w:rsidR="00CA7EE5" w:rsidRPr="00CA7EE5">
        <w:rPr>
          <w:color w:val="000000"/>
        </w:rPr>
        <w:t>725,00</w:t>
      </w:r>
      <w:r w:rsidR="00032B14" w:rsidRPr="00032B14">
        <w:rPr>
          <w:color w:val="000000"/>
        </w:rPr>
        <w:t xml:space="preserve"> </w:t>
      </w:r>
      <w:r w:rsidR="00F86D66">
        <w:rPr>
          <w:color w:val="000000"/>
        </w:rPr>
        <w:t>грн (</w:t>
      </w:r>
      <w:r w:rsidR="00CA7EE5" w:rsidRPr="00CA7EE5">
        <w:rPr>
          <w:color w:val="000000"/>
        </w:rPr>
        <w:t>д</w:t>
      </w:r>
      <w:r w:rsidR="00CA7EE5" w:rsidRPr="00CA7EE5">
        <w:rPr>
          <w:color w:val="000000"/>
        </w:rPr>
        <w:t>ва мільйона сімсот сімдесят п'ять тисяч сімсот двадцять п'ять гривень 00 копійок</w:t>
      </w:r>
      <w:r w:rsidR="00F86D66">
        <w:rPr>
          <w:color w:val="000000"/>
        </w:rPr>
        <w:t xml:space="preserve">) </w:t>
      </w:r>
      <w:r w:rsidR="00F86D66" w:rsidRPr="00E63FC3">
        <w:rPr>
          <w:color w:val="000000"/>
        </w:rPr>
        <w:t>з ПДВ</w:t>
      </w:r>
      <w:r w:rsidR="00F86D66">
        <w:rPr>
          <w:color w:val="000000"/>
        </w:rPr>
        <w:t xml:space="preserve">; </w:t>
      </w:r>
    </w:p>
    <w:bookmarkEnd w:id="4"/>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6"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7"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8"/>
  </w:num>
  <w:num w:numId="3" w16cid:durableId="161971634">
    <w:abstractNumId w:val="3"/>
  </w:num>
  <w:num w:numId="4" w16cid:durableId="777723274">
    <w:abstractNumId w:val="6"/>
  </w:num>
  <w:num w:numId="5" w16cid:durableId="1973360045">
    <w:abstractNumId w:val="9"/>
  </w:num>
  <w:num w:numId="6" w16cid:durableId="1600212210">
    <w:abstractNumId w:val="11"/>
  </w:num>
  <w:num w:numId="7" w16cid:durableId="1111558931">
    <w:abstractNumId w:val="7"/>
  </w:num>
  <w:num w:numId="8" w16cid:durableId="1993025430">
    <w:abstractNumId w:val="2"/>
  </w:num>
  <w:num w:numId="9" w16cid:durableId="1051997008">
    <w:abstractNumId w:val="12"/>
  </w:num>
  <w:num w:numId="10" w16cid:durableId="2084914609">
    <w:abstractNumId w:val="4"/>
  </w:num>
  <w:num w:numId="11" w16cid:durableId="2145002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F36E4"/>
    <w:rsid w:val="00293C3D"/>
    <w:rsid w:val="002E61D3"/>
    <w:rsid w:val="00303542"/>
    <w:rsid w:val="00312AE5"/>
    <w:rsid w:val="003247E4"/>
    <w:rsid w:val="00371AF5"/>
    <w:rsid w:val="0039040B"/>
    <w:rsid w:val="003D027E"/>
    <w:rsid w:val="003F08E8"/>
    <w:rsid w:val="003F29C6"/>
    <w:rsid w:val="004432B0"/>
    <w:rsid w:val="00493A71"/>
    <w:rsid w:val="004C00B2"/>
    <w:rsid w:val="004C4509"/>
    <w:rsid w:val="004E3803"/>
    <w:rsid w:val="0052468D"/>
    <w:rsid w:val="00577FCD"/>
    <w:rsid w:val="005C22AE"/>
    <w:rsid w:val="005E77A2"/>
    <w:rsid w:val="005F5AA5"/>
    <w:rsid w:val="00613F0A"/>
    <w:rsid w:val="00677D49"/>
    <w:rsid w:val="007018F6"/>
    <w:rsid w:val="00765CDB"/>
    <w:rsid w:val="007B270E"/>
    <w:rsid w:val="007E3784"/>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E178A"/>
    <w:rsid w:val="00C20D96"/>
    <w:rsid w:val="00C40464"/>
    <w:rsid w:val="00C56739"/>
    <w:rsid w:val="00C86040"/>
    <w:rsid w:val="00CA7EE5"/>
    <w:rsid w:val="00CC136D"/>
    <w:rsid w:val="00CD2FE3"/>
    <w:rsid w:val="00CE064B"/>
    <w:rsid w:val="00CF20C1"/>
    <w:rsid w:val="00D54642"/>
    <w:rsid w:val="00D5476C"/>
    <w:rsid w:val="00D658D4"/>
    <w:rsid w:val="00D918AD"/>
    <w:rsid w:val="00D91CF1"/>
    <w:rsid w:val="00DB08EC"/>
    <w:rsid w:val="00DD7029"/>
    <w:rsid w:val="00E018E9"/>
    <w:rsid w:val="00E13E39"/>
    <w:rsid w:val="00E32D16"/>
    <w:rsid w:val="00E56383"/>
    <w:rsid w:val="00E610EF"/>
    <w:rsid w:val="00E63FC3"/>
    <w:rsid w:val="00EC5E50"/>
    <w:rsid w:val="00ED30A3"/>
    <w:rsid w:val="00ED42E0"/>
    <w:rsid w:val="00EF5D4D"/>
    <w:rsid w:val="00F61A00"/>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3</Pages>
  <Words>5624</Words>
  <Characters>3206</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60</cp:revision>
  <cp:lastPrinted>2025-01-20T07:48:00Z</cp:lastPrinted>
  <dcterms:created xsi:type="dcterms:W3CDTF">2025-01-30T07:30:00Z</dcterms:created>
  <dcterms:modified xsi:type="dcterms:W3CDTF">2026-02-16T13:00:00Z</dcterms:modified>
</cp:coreProperties>
</file>