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64C8DA4A"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на закупівлю по предмету закупівлі</w:t>
      </w:r>
      <w:r w:rsidR="00F743C6">
        <w:rPr>
          <w:rFonts w:ascii="Times New Roman" w:hAnsi="Times New Roman" w:cs="Times New Roman"/>
          <w:b/>
          <w:sz w:val="24"/>
          <w:szCs w:val="28"/>
        </w:rPr>
        <w:t>:</w:t>
      </w:r>
      <w:r w:rsidRPr="001D47B7">
        <w:rPr>
          <w:rFonts w:ascii="Times New Roman" w:hAnsi="Times New Roman" w:cs="Times New Roman"/>
          <w:b/>
          <w:sz w:val="24"/>
          <w:szCs w:val="28"/>
        </w:rPr>
        <w:t xml:space="preserve"> </w:t>
      </w:r>
      <w:r w:rsidR="00531436" w:rsidRPr="00531436">
        <w:rPr>
          <w:rFonts w:ascii="Times New Roman" w:hAnsi="Times New Roman" w:cs="Times New Roman"/>
          <w:b/>
          <w:sz w:val="24"/>
          <w:szCs w:val="28"/>
        </w:rPr>
        <w:t>Витратні матеріали для офтальмологі</w:t>
      </w:r>
      <w:r w:rsidR="00531436">
        <w:rPr>
          <w:rFonts w:ascii="Times New Roman" w:hAnsi="Times New Roman" w:cs="Times New Roman"/>
          <w:b/>
          <w:sz w:val="24"/>
          <w:szCs w:val="28"/>
        </w:rPr>
        <w:t>ї</w:t>
      </w:r>
      <w:r w:rsidR="00531436" w:rsidRPr="00531436">
        <w:rPr>
          <w:rFonts w:ascii="Times New Roman" w:hAnsi="Times New Roman" w:cs="Times New Roman"/>
          <w:b/>
          <w:sz w:val="24"/>
          <w:szCs w:val="28"/>
        </w:rPr>
        <w:t xml:space="preserve"> (код ДК 021:2015 33730000-6 – Офтальмологічні вироби та коригувальні лінзи)</w:t>
      </w:r>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1691"/>
        <w:gridCol w:w="5232"/>
        <w:gridCol w:w="851"/>
        <w:gridCol w:w="1058"/>
      </w:tblGrid>
      <w:tr w:rsidR="00573EA8" w:rsidRPr="00925A2A" w14:paraId="07A2FCEF" w14:textId="77777777" w:rsidTr="00531436">
        <w:trPr>
          <w:trHeight w:val="645"/>
          <w:jc w:val="center"/>
        </w:trPr>
        <w:tc>
          <w:tcPr>
            <w:tcW w:w="444" w:type="dxa"/>
            <w:noWrap/>
            <w:vAlign w:val="center"/>
            <w:hideMark/>
          </w:tcPr>
          <w:p w14:paraId="246564A4" w14:textId="77777777" w:rsidR="00573EA8" w:rsidRPr="00925A2A" w:rsidRDefault="00573EA8" w:rsidP="00573EA8">
            <w:pPr>
              <w:spacing w:after="0"/>
              <w:jc w:val="center"/>
              <w:rPr>
                <w:rFonts w:ascii="Times New Roman" w:hAnsi="Times New Roman" w:cs="Times New Roman"/>
                <w:b/>
                <w:bCs/>
                <w:color w:val="000000"/>
                <w:sz w:val="20"/>
                <w:szCs w:val="20"/>
                <w:lang w:eastAsia="uk-UA"/>
              </w:rPr>
            </w:pPr>
            <w:bookmarkStart w:id="0" w:name="_Hlk213339690"/>
            <w:r w:rsidRPr="00925A2A">
              <w:rPr>
                <w:rFonts w:ascii="Times New Roman" w:hAnsi="Times New Roman" w:cs="Times New Roman"/>
                <w:b/>
                <w:bCs/>
                <w:color w:val="000000"/>
                <w:sz w:val="20"/>
                <w:szCs w:val="20"/>
                <w:lang w:eastAsia="uk-UA"/>
              </w:rPr>
              <w:t>№</w:t>
            </w:r>
          </w:p>
        </w:tc>
        <w:tc>
          <w:tcPr>
            <w:tcW w:w="1691" w:type="dxa"/>
            <w:vAlign w:val="center"/>
            <w:hideMark/>
          </w:tcPr>
          <w:p w14:paraId="60D2A64B" w14:textId="0ED1F0F4" w:rsidR="00573EA8" w:rsidRPr="00925A2A" w:rsidRDefault="00573EA8" w:rsidP="00573EA8">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5232" w:type="dxa"/>
            <w:vAlign w:val="center"/>
            <w:hideMark/>
          </w:tcPr>
          <w:p w14:paraId="6A5DAC77" w14:textId="66B94BDB" w:rsidR="00573EA8" w:rsidRPr="00925A2A" w:rsidRDefault="00573EA8" w:rsidP="00573EA8">
            <w:pPr>
              <w:spacing w:after="0"/>
              <w:jc w:val="center"/>
              <w:rPr>
                <w:rFonts w:ascii="Times New Roman" w:hAnsi="Times New Roman" w:cs="Times New Roman"/>
                <w:b/>
                <w:bCs/>
                <w:color w:val="000000"/>
                <w:sz w:val="20"/>
                <w:szCs w:val="20"/>
                <w:lang w:eastAsia="uk-UA"/>
              </w:rPr>
            </w:pPr>
            <w:r w:rsidRPr="00573EA8">
              <w:rPr>
                <w:rFonts w:ascii="Times New Roman" w:hAnsi="Times New Roman" w:cs="Times New Roman"/>
                <w:b/>
                <w:bCs/>
                <w:color w:val="000000"/>
                <w:sz w:val="20"/>
                <w:szCs w:val="20"/>
                <w:lang w:eastAsia="uk-UA"/>
              </w:rPr>
              <w:t xml:space="preserve">Характеристики товару </w:t>
            </w:r>
          </w:p>
        </w:tc>
        <w:tc>
          <w:tcPr>
            <w:tcW w:w="851" w:type="dxa"/>
            <w:vAlign w:val="center"/>
            <w:hideMark/>
          </w:tcPr>
          <w:p w14:paraId="26AE314A" w14:textId="28C6809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8" w:type="dxa"/>
            <w:vAlign w:val="center"/>
            <w:hideMark/>
          </w:tcPr>
          <w:p w14:paraId="03A5B87B" w14:textId="2B97FFE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r>
      <w:bookmarkEnd w:id="0"/>
      <w:tr w:rsidR="00531436" w:rsidRPr="00925A2A" w14:paraId="7E2A1BAC" w14:textId="77777777" w:rsidTr="00A931F9">
        <w:trPr>
          <w:trHeight w:val="271"/>
          <w:jc w:val="center"/>
        </w:trPr>
        <w:tc>
          <w:tcPr>
            <w:tcW w:w="444" w:type="dxa"/>
            <w:noWrap/>
            <w:tcMar>
              <w:right w:w="0" w:type="dxa"/>
            </w:tcMar>
            <w:vAlign w:val="center"/>
          </w:tcPr>
          <w:p w14:paraId="29E50954"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52A3B175" w14:textId="454CC0DF" w:rsidR="00531436" w:rsidRPr="00DC2BE4" w:rsidRDefault="00531436" w:rsidP="00A931F9">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Віскоеластичний</w:t>
            </w:r>
            <w:proofErr w:type="spellEnd"/>
            <w:r w:rsidRPr="00531436">
              <w:rPr>
                <w:rFonts w:ascii="Times New Roman" w:hAnsi="Times New Roman" w:cs="Times New Roman"/>
                <w:bCs/>
                <w:color w:val="000000"/>
                <w:sz w:val="20"/>
                <w:szCs w:val="20"/>
                <w:shd w:val="clear" w:color="auto" w:fill="FFFFFF"/>
              </w:rPr>
              <w:t xml:space="preserve"> розчин </w:t>
            </w:r>
            <w:proofErr w:type="spellStart"/>
            <w:r w:rsidRPr="00531436">
              <w:rPr>
                <w:rFonts w:ascii="Times New Roman" w:hAnsi="Times New Roman" w:cs="Times New Roman"/>
                <w:bCs/>
                <w:color w:val="000000"/>
                <w:sz w:val="20"/>
                <w:szCs w:val="20"/>
                <w:shd w:val="clear" w:color="auto" w:fill="FFFFFF"/>
              </w:rPr>
              <w:t>когезивний</w:t>
            </w:r>
            <w:proofErr w:type="spellEnd"/>
          </w:p>
        </w:tc>
        <w:tc>
          <w:tcPr>
            <w:tcW w:w="5232" w:type="dxa"/>
          </w:tcPr>
          <w:p w14:paraId="6CDBBC74" w14:textId="2C900933"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 xml:space="preserve">Матеріал для заміщення водянистої вологи/ рідини склоподібного тіла ока </w:t>
            </w:r>
            <w:proofErr w:type="spellStart"/>
            <w:r w:rsidRPr="00531436">
              <w:rPr>
                <w:rFonts w:ascii="Times New Roman" w:hAnsi="Times New Roman" w:cs="Times New Roman"/>
                <w:bCs/>
                <w:color w:val="000000"/>
                <w:sz w:val="20"/>
                <w:szCs w:val="20"/>
                <w:shd w:val="clear" w:color="auto" w:fill="FFFFFF"/>
              </w:rPr>
              <w:t>інтраопераційне</w:t>
            </w:r>
            <w:proofErr w:type="spellEnd"/>
            <w:r w:rsidRPr="00531436">
              <w:rPr>
                <w:rFonts w:ascii="Times New Roman" w:hAnsi="Times New Roman" w:cs="Times New Roman"/>
                <w:bCs/>
                <w:color w:val="000000"/>
                <w:sz w:val="20"/>
                <w:szCs w:val="20"/>
                <w:shd w:val="clear" w:color="auto" w:fill="FFFFFF"/>
              </w:rPr>
              <w:t xml:space="preserve">. Стерильний, </w:t>
            </w:r>
            <w:proofErr w:type="spellStart"/>
            <w:r w:rsidRPr="00531436">
              <w:rPr>
                <w:rFonts w:ascii="Times New Roman" w:hAnsi="Times New Roman" w:cs="Times New Roman"/>
                <w:bCs/>
                <w:color w:val="000000"/>
                <w:sz w:val="20"/>
                <w:szCs w:val="20"/>
                <w:shd w:val="clear" w:color="auto" w:fill="FFFFFF"/>
              </w:rPr>
              <w:t>iзотонiчний</w:t>
            </w:r>
            <w:proofErr w:type="spellEnd"/>
            <w:r w:rsidRPr="00531436">
              <w:rPr>
                <w:rFonts w:ascii="Times New Roman" w:hAnsi="Times New Roman" w:cs="Times New Roman"/>
                <w:bCs/>
                <w:color w:val="000000"/>
                <w:sz w:val="20"/>
                <w:szCs w:val="20"/>
                <w:shd w:val="clear" w:color="auto" w:fill="FFFFFF"/>
              </w:rPr>
              <w:t xml:space="preserve"> розчин </w:t>
            </w:r>
            <w:proofErr w:type="spellStart"/>
            <w:r w:rsidRPr="00531436">
              <w:rPr>
                <w:rFonts w:ascii="Times New Roman" w:hAnsi="Times New Roman" w:cs="Times New Roman"/>
                <w:bCs/>
                <w:color w:val="000000"/>
                <w:sz w:val="20"/>
                <w:szCs w:val="20"/>
                <w:shd w:val="clear" w:color="auto" w:fill="FFFFFF"/>
              </w:rPr>
              <w:t>гiалуронату</w:t>
            </w:r>
            <w:proofErr w:type="spellEnd"/>
            <w:r w:rsidRPr="00531436">
              <w:rPr>
                <w:rFonts w:ascii="Times New Roman" w:hAnsi="Times New Roman" w:cs="Times New Roman"/>
                <w:bCs/>
                <w:color w:val="000000"/>
                <w:sz w:val="20"/>
                <w:szCs w:val="20"/>
                <w:shd w:val="clear" w:color="auto" w:fill="FFFFFF"/>
              </w:rPr>
              <w:t xml:space="preserve"> </w:t>
            </w:r>
            <w:proofErr w:type="spellStart"/>
            <w:r w:rsidRPr="00531436">
              <w:rPr>
                <w:rFonts w:ascii="Times New Roman" w:hAnsi="Times New Roman" w:cs="Times New Roman"/>
                <w:bCs/>
                <w:color w:val="000000"/>
                <w:sz w:val="20"/>
                <w:szCs w:val="20"/>
                <w:shd w:val="clear" w:color="auto" w:fill="FFFFFF"/>
              </w:rPr>
              <w:t>натрiя</w:t>
            </w:r>
            <w:proofErr w:type="spellEnd"/>
            <w:r w:rsidRPr="00531436">
              <w:rPr>
                <w:rFonts w:ascii="Times New Roman" w:hAnsi="Times New Roman" w:cs="Times New Roman"/>
                <w:bCs/>
                <w:color w:val="000000"/>
                <w:sz w:val="20"/>
                <w:szCs w:val="20"/>
                <w:shd w:val="clear" w:color="auto" w:fill="FFFFFF"/>
              </w:rPr>
              <w:t xml:space="preserve"> 1,6%, розчинений у </w:t>
            </w:r>
            <w:proofErr w:type="spellStart"/>
            <w:r w:rsidRPr="00531436">
              <w:rPr>
                <w:rFonts w:ascii="Times New Roman" w:hAnsi="Times New Roman" w:cs="Times New Roman"/>
                <w:bCs/>
                <w:color w:val="000000"/>
                <w:sz w:val="20"/>
                <w:szCs w:val="20"/>
                <w:shd w:val="clear" w:color="auto" w:fill="FFFFFF"/>
              </w:rPr>
              <w:t>фiзiологiчному</w:t>
            </w:r>
            <w:proofErr w:type="spellEnd"/>
            <w:r w:rsidRPr="00531436">
              <w:rPr>
                <w:rFonts w:ascii="Times New Roman" w:hAnsi="Times New Roman" w:cs="Times New Roman"/>
                <w:bCs/>
                <w:color w:val="000000"/>
                <w:sz w:val="20"/>
                <w:szCs w:val="20"/>
                <w:shd w:val="clear" w:color="auto" w:fill="FFFFFF"/>
              </w:rPr>
              <w:t xml:space="preserve"> збалансованому сольовому </w:t>
            </w:r>
            <w:proofErr w:type="spellStart"/>
            <w:r w:rsidRPr="00531436">
              <w:rPr>
                <w:rFonts w:ascii="Times New Roman" w:hAnsi="Times New Roman" w:cs="Times New Roman"/>
                <w:bCs/>
                <w:color w:val="000000"/>
                <w:sz w:val="20"/>
                <w:szCs w:val="20"/>
                <w:shd w:val="clear" w:color="auto" w:fill="FFFFFF"/>
              </w:rPr>
              <w:t>розчинi</w:t>
            </w:r>
            <w:proofErr w:type="spellEnd"/>
            <w:r w:rsidRPr="00531436">
              <w:rPr>
                <w:rFonts w:ascii="Times New Roman" w:hAnsi="Times New Roman" w:cs="Times New Roman"/>
                <w:bCs/>
                <w:color w:val="000000"/>
                <w:sz w:val="20"/>
                <w:szCs w:val="20"/>
                <w:shd w:val="clear" w:color="auto" w:fill="FFFFFF"/>
              </w:rPr>
              <w:t>. Одноразовий стерильний шприц в індивідуальній упаковці. Об’єм 1.0 мл</w:t>
            </w:r>
          </w:p>
        </w:tc>
        <w:tc>
          <w:tcPr>
            <w:tcW w:w="851" w:type="dxa"/>
            <w:noWrap/>
            <w:vAlign w:val="center"/>
          </w:tcPr>
          <w:p w14:paraId="44D99E02" w14:textId="6497F646"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шт</w:t>
            </w:r>
            <w:proofErr w:type="spellEnd"/>
          </w:p>
        </w:tc>
        <w:tc>
          <w:tcPr>
            <w:tcW w:w="1058" w:type="dxa"/>
            <w:vAlign w:val="center"/>
          </w:tcPr>
          <w:p w14:paraId="6B8F93E8" w14:textId="300494BC"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120</w:t>
            </w:r>
          </w:p>
        </w:tc>
      </w:tr>
      <w:tr w:rsidR="00531436" w:rsidRPr="00925A2A" w14:paraId="2048AD10" w14:textId="77777777" w:rsidTr="00A931F9">
        <w:trPr>
          <w:trHeight w:val="271"/>
          <w:jc w:val="center"/>
        </w:trPr>
        <w:tc>
          <w:tcPr>
            <w:tcW w:w="444" w:type="dxa"/>
            <w:noWrap/>
            <w:tcMar>
              <w:right w:w="0" w:type="dxa"/>
            </w:tcMar>
            <w:vAlign w:val="center"/>
          </w:tcPr>
          <w:p w14:paraId="3EF1BA3F"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5A82CCFD" w14:textId="2CBDA95E" w:rsidR="00531436" w:rsidRPr="00DC2BE4" w:rsidRDefault="00531436" w:rsidP="00A931F9">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Віскоеластичний</w:t>
            </w:r>
            <w:proofErr w:type="spellEnd"/>
            <w:r w:rsidRPr="00531436">
              <w:rPr>
                <w:rFonts w:ascii="Times New Roman" w:hAnsi="Times New Roman" w:cs="Times New Roman"/>
                <w:bCs/>
                <w:color w:val="000000"/>
                <w:sz w:val="20"/>
                <w:szCs w:val="20"/>
                <w:shd w:val="clear" w:color="auto" w:fill="FFFFFF"/>
              </w:rPr>
              <w:t xml:space="preserve"> розчин </w:t>
            </w:r>
            <w:proofErr w:type="spellStart"/>
            <w:r w:rsidRPr="00531436">
              <w:rPr>
                <w:rFonts w:ascii="Times New Roman" w:hAnsi="Times New Roman" w:cs="Times New Roman"/>
                <w:bCs/>
                <w:color w:val="000000"/>
                <w:sz w:val="20"/>
                <w:szCs w:val="20"/>
                <w:shd w:val="clear" w:color="auto" w:fill="FFFFFF"/>
              </w:rPr>
              <w:t>адгезивний</w:t>
            </w:r>
            <w:proofErr w:type="spellEnd"/>
          </w:p>
        </w:tc>
        <w:tc>
          <w:tcPr>
            <w:tcW w:w="5232" w:type="dxa"/>
          </w:tcPr>
          <w:p w14:paraId="66FEF866" w14:textId="03174BB3"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 xml:space="preserve">Матеріал для заміщення водянистої вологи/ рідини склоподібного тіла ока </w:t>
            </w:r>
            <w:proofErr w:type="spellStart"/>
            <w:r w:rsidRPr="00531436">
              <w:rPr>
                <w:rFonts w:ascii="Times New Roman" w:hAnsi="Times New Roman" w:cs="Times New Roman"/>
                <w:bCs/>
                <w:color w:val="000000"/>
                <w:sz w:val="20"/>
                <w:szCs w:val="20"/>
                <w:shd w:val="clear" w:color="auto" w:fill="FFFFFF"/>
              </w:rPr>
              <w:t>інтраопераційне</w:t>
            </w:r>
            <w:proofErr w:type="spellEnd"/>
            <w:r w:rsidRPr="00531436">
              <w:rPr>
                <w:rFonts w:ascii="Times New Roman" w:hAnsi="Times New Roman" w:cs="Times New Roman"/>
                <w:bCs/>
                <w:color w:val="000000"/>
                <w:sz w:val="20"/>
                <w:szCs w:val="20"/>
                <w:shd w:val="clear" w:color="auto" w:fill="FFFFFF"/>
              </w:rPr>
              <w:t xml:space="preserve">. Стерильний, </w:t>
            </w:r>
            <w:proofErr w:type="spellStart"/>
            <w:r w:rsidRPr="00531436">
              <w:rPr>
                <w:rFonts w:ascii="Times New Roman" w:hAnsi="Times New Roman" w:cs="Times New Roman"/>
                <w:bCs/>
                <w:color w:val="000000"/>
                <w:sz w:val="20"/>
                <w:szCs w:val="20"/>
                <w:shd w:val="clear" w:color="auto" w:fill="FFFFFF"/>
              </w:rPr>
              <w:t>iзотонiчний</w:t>
            </w:r>
            <w:proofErr w:type="spellEnd"/>
            <w:r w:rsidRPr="00531436">
              <w:rPr>
                <w:rFonts w:ascii="Times New Roman" w:hAnsi="Times New Roman" w:cs="Times New Roman"/>
                <w:bCs/>
                <w:color w:val="000000"/>
                <w:sz w:val="20"/>
                <w:szCs w:val="20"/>
                <w:shd w:val="clear" w:color="auto" w:fill="FFFFFF"/>
              </w:rPr>
              <w:t xml:space="preserve"> розчин </w:t>
            </w:r>
            <w:proofErr w:type="spellStart"/>
            <w:r w:rsidRPr="00531436">
              <w:rPr>
                <w:rFonts w:ascii="Times New Roman" w:hAnsi="Times New Roman" w:cs="Times New Roman"/>
                <w:bCs/>
                <w:color w:val="000000"/>
                <w:sz w:val="20"/>
                <w:szCs w:val="20"/>
                <w:shd w:val="clear" w:color="auto" w:fill="FFFFFF"/>
              </w:rPr>
              <w:t>гiалуронату</w:t>
            </w:r>
            <w:proofErr w:type="spellEnd"/>
            <w:r w:rsidRPr="00531436">
              <w:rPr>
                <w:rFonts w:ascii="Times New Roman" w:hAnsi="Times New Roman" w:cs="Times New Roman"/>
                <w:bCs/>
                <w:color w:val="000000"/>
                <w:sz w:val="20"/>
                <w:szCs w:val="20"/>
                <w:shd w:val="clear" w:color="auto" w:fill="FFFFFF"/>
              </w:rPr>
              <w:t xml:space="preserve"> </w:t>
            </w:r>
            <w:proofErr w:type="spellStart"/>
            <w:r w:rsidRPr="00531436">
              <w:rPr>
                <w:rFonts w:ascii="Times New Roman" w:hAnsi="Times New Roman" w:cs="Times New Roman"/>
                <w:bCs/>
                <w:color w:val="000000"/>
                <w:sz w:val="20"/>
                <w:szCs w:val="20"/>
                <w:shd w:val="clear" w:color="auto" w:fill="FFFFFF"/>
              </w:rPr>
              <w:t>натрiя</w:t>
            </w:r>
            <w:proofErr w:type="spellEnd"/>
            <w:r w:rsidRPr="00531436">
              <w:rPr>
                <w:rFonts w:ascii="Times New Roman" w:hAnsi="Times New Roman" w:cs="Times New Roman"/>
                <w:bCs/>
                <w:color w:val="000000"/>
                <w:sz w:val="20"/>
                <w:szCs w:val="20"/>
                <w:shd w:val="clear" w:color="auto" w:fill="FFFFFF"/>
              </w:rPr>
              <w:t xml:space="preserve"> 3%, розчинений у </w:t>
            </w:r>
            <w:proofErr w:type="spellStart"/>
            <w:r w:rsidRPr="00531436">
              <w:rPr>
                <w:rFonts w:ascii="Times New Roman" w:hAnsi="Times New Roman" w:cs="Times New Roman"/>
                <w:bCs/>
                <w:color w:val="000000"/>
                <w:sz w:val="20"/>
                <w:szCs w:val="20"/>
                <w:shd w:val="clear" w:color="auto" w:fill="FFFFFF"/>
              </w:rPr>
              <w:t>фiзiологiчному</w:t>
            </w:r>
            <w:proofErr w:type="spellEnd"/>
            <w:r w:rsidRPr="00531436">
              <w:rPr>
                <w:rFonts w:ascii="Times New Roman" w:hAnsi="Times New Roman" w:cs="Times New Roman"/>
                <w:bCs/>
                <w:color w:val="000000"/>
                <w:sz w:val="20"/>
                <w:szCs w:val="20"/>
                <w:shd w:val="clear" w:color="auto" w:fill="FFFFFF"/>
              </w:rPr>
              <w:t xml:space="preserve"> збалансованому сольовому </w:t>
            </w:r>
            <w:proofErr w:type="spellStart"/>
            <w:r w:rsidRPr="00531436">
              <w:rPr>
                <w:rFonts w:ascii="Times New Roman" w:hAnsi="Times New Roman" w:cs="Times New Roman"/>
                <w:bCs/>
                <w:color w:val="000000"/>
                <w:sz w:val="20"/>
                <w:szCs w:val="20"/>
                <w:shd w:val="clear" w:color="auto" w:fill="FFFFFF"/>
              </w:rPr>
              <w:t>розчинi</w:t>
            </w:r>
            <w:proofErr w:type="spellEnd"/>
            <w:r w:rsidRPr="00531436">
              <w:rPr>
                <w:rFonts w:ascii="Times New Roman" w:hAnsi="Times New Roman" w:cs="Times New Roman"/>
                <w:bCs/>
                <w:color w:val="000000"/>
                <w:sz w:val="20"/>
                <w:szCs w:val="20"/>
                <w:shd w:val="clear" w:color="auto" w:fill="FFFFFF"/>
              </w:rPr>
              <w:t>. Одноразовий стерильний шприц в індивідуальній упаковці. Об’єм 1.0 мл</w:t>
            </w:r>
          </w:p>
        </w:tc>
        <w:tc>
          <w:tcPr>
            <w:tcW w:w="851" w:type="dxa"/>
            <w:noWrap/>
            <w:vAlign w:val="center"/>
          </w:tcPr>
          <w:p w14:paraId="5E8C4FDF" w14:textId="34CFBF4F"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шт</w:t>
            </w:r>
            <w:proofErr w:type="spellEnd"/>
          </w:p>
        </w:tc>
        <w:tc>
          <w:tcPr>
            <w:tcW w:w="1058" w:type="dxa"/>
            <w:vAlign w:val="center"/>
          </w:tcPr>
          <w:p w14:paraId="47E110A7" w14:textId="3ACAC14C"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120</w:t>
            </w:r>
          </w:p>
        </w:tc>
      </w:tr>
      <w:tr w:rsidR="00531436" w:rsidRPr="00925A2A" w14:paraId="5AA1BF8B" w14:textId="77777777" w:rsidTr="00A931F9">
        <w:trPr>
          <w:trHeight w:val="271"/>
          <w:jc w:val="center"/>
        </w:trPr>
        <w:tc>
          <w:tcPr>
            <w:tcW w:w="444" w:type="dxa"/>
            <w:noWrap/>
            <w:tcMar>
              <w:right w:w="0" w:type="dxa"/>
            </w:tcMar>
            <w:vAlign w:val="center"/>
          </w:tcPr>
          <w:p w14:paraId="10255DD7"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048DB39C" w14:textId="677C345E" w:rsidR="00531436" w:rsidRPr="00DC2BE4" w:rsidRDefault="00531436" w:rsidP="00A931F9">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 xml:space="preserve">Комплект з трьох троакар - ножів і </w:t>
            </w:r>
            <w:proofErr w:type="spellStart"/>
            <w:r w:rsidRPr="00531436">
              <w:rPr>
                <w:rFonts w:ascii="Times New Roman" w:hAnsi="Times New Roman" w:cs="Times New Roman"/>
                <w:bCs/>
                <w:color w:val="000000"/>
                <w:sz w:val="20"/>
                <w:szCs w:val="20"/>
                <w:shd w:val="clear" w:color="auto" w:fill="FFFFFF"/>
              </w:rPr>
              <w:t>канюль</w:t>
            </w:r>
            <w:proofErr w:type="spellEnd"/>
            <w:r w:rsidRPr="00531436">
              <w:rPr>
                <w:rFonts w:ascii="Times New Roman" w:hAnsi="Times New Roman" w:cs="Times New Roman"/>
                <w:bCs/>
                <w:color w:val="000000"/>
                <w:sz w:val="20"/>
                <w:szCs w:val="20"/>
                <w:shd w:val="clear" w:color="auto" w:fill="FFFFFF"/>
              </w:rPr>
              <w:t xml:space="preserve"> 23 </w:t>
            </w:r>
            <w:proofErr w:type="spellStart"/>
            <w:r w:rsidRPr="00531436">
              <w:rPr>
                <w:rFonts w:ascii="Times New Roman" w:hAnsi="Times New Roman" w:cs="Times New Roman"/>
                <w:bCs/>
                <w:color w:val="000000"/>
                <w:sz w:val="20"/>
                <w:szCs w:val="20"/>
                <w:shd w:val="clear" w:color="auto" w:fill="FFFFFF"/>
              </w:rPr>
              <w:t>Ga</w:t>
            </w:r>
            <w:proofErr w:type="spellEnd"/>
            <w:r w:rsidRPr="00531436">
              <w:rPr>
                <w:rFonts w:ascii="Times New Roman" w:hAnsi="Times New Roman" w:cs="Times New Roman"/>
                <w:bCs/>
                <w:color w:val="000000"/>
                <w:sz w:val="20"/>
                <w:szCs w:val="20"/>
                <w:shd w:val="clear" w:color="auto" w:fill="FFFFFF"/>
              </w:rPr>
              <w:t xml:space="preserve"> з клапанами</w:t>
            </w:r>
          </w:p>
        </w:tc>
        <w:tc>
          <w:tcPr>
            <w:tcW w:w="5232" w:type="dxa"/>
          </w:tcPr>
          <w:p w14:paraId="4B302B7B" w14:textId="6C8CC613"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 xml:space="preserve">Офтальмологічна мікрохірургічна </w:t>
            </w:r>
            <w:proofErr w:type="spellStart"/>
            <w:r w:rsidRPr="00531436">
              <w:rPr>
                <w:rFonts w:ascii="Times New Roman" w:hAnsi="Times New Roman" w:cs="Times New Roman"/>
                <w:bCs/>
                <w:color w:val="000000"/>
                <w:sz w:val="20"/>
                <w:szCs w:val="20"/>
                <w:shd w:val="clear" w:color="auto" w:fill="FFFFFF"/>
              </w:rPr>
              <w:t>канюля</w:t>
            </w:r>
            <w:proofErr w:type="spellEnd"/>
            <w:r w:rsidRPr="00531436">
              <w:rPr>
                <w:rFonts w:ascii="Times New Roman" w:hAnsi="Times New Roman" w:cs="Times New Roman"/>
                <w:bCs/>
                <w:color w:val="000000"/>
                <w:sz w:val="20"/>
                <w:szCs w:val="20"/>
                <w:shd w:val="clear" w:color="auto" w:fill="FFFFFF"/>
              </w:rPr>
              <w:t xml:space="preserve"> з </w:t>
            </w:r>
            <w:proofErr w:type="spellStart"/>
            <w:r w:rsidRPr="00531436">
              <w:rPr>
                <w:rFonts w:ascii="Times New Roman" w:hAnsi="Times New Roman" w:cs="Times New Roman"/>
                <w:bCs/>
                <w:color w:val="000000"/>
                <w:sz w:val="20"/>
                <w:szCs w:val="20"/>
                <w:shd w:val="clear" w:color="auto" w:fill="FFFFFF"/>
              </w:rPr>
              <w:t>оливоподібним</w:t>
            </w:r>
            <w:proofErr w:type="spellEnd"/>
            <w:r w:rsidRPr="00531436">
              <w:rPr>
                <w:rFonts w:ascii="Times New Roman" w:hAnsi="Times New Roman" w:cs="Times New Roman"/>
                <w:bCs/>
                <w:color w:val="000000"/>
                <w:sz w:val="20"/>
                <w:szCs w:val="20"/>
                <w:shd w:val="clear" w:color="auto" w:fill="FFFFFF"/>
              </w:rPr>
              <w:t xml:space="preserve"> наконечником, розміром 23G, довжиною 11 см. Наконечник: </w:t>
            </w:r>
            <w:proofErr w:type="spellStart"/>
            <w:r w:rsidRPr="00531436">
              <w:rPr>
                <w:rFonts w:ascii="Times New Roman" w:hAnsi="Times New Roman" w:cs="Times New Roman"/>
                <w:bCs/>
                <w:color w:val="000000"/>
                <w:sz w:val="20"/>
                <w:szCs w:val="20"/>
                <w:shd w:val="clear" w:color="auto" w:fill="FFFFFF"/>
              </w:rPr>
              <w:t>оливоподібний</w:t>
            </w:r>
            <w:proofErr w:type="spellEnd"/>
            <w:r w:rsidRPr="00531436">
              <w:rPr>
                <w:rFonts w:ascii="Times New Roman" w:hAnsi="Times New Roman" w:cs="Times New Roman"/>
                <w:bCs/>
                <w:color w:val="000000"/>
                <w:sz w:val="20"/>
                <w:szCs w:val="20"/>
                <w:shd w:val="clear" w:color="auto" w:fill="FFFFFF"/>
              </w:rPr>
              <w:t xml:space="preserve">, спеціально заокруглений та гладкий для безпечного введення через рану та маніпуляцій у </w:t>
            </w:r>
            <w:proofErr w:type="spellStart"/>
            <w:r w:rsidRPr="00531436">
              <w:rPr>
                <w:rFonts w:ascii="Times New Roman" w:hAnsi="Times New Roman" w:cs="Times New Roman"/>
                <w:bCs/>
                <w:color w:val="000000"/>
                <w:sz w:val="20"/>
                <w:szCs w:val="20"/>
                <w:shd w:val="clear" w:color="auto" w:fill="FFFFFF"/>
              </w:rPr>
              <w:t>нососльозному</w:t>
            </w:r>
            <w:proofErr w:type="spellEnd"/>
            <w:r w:rsidRPr="00531436">
              <w:rPr>
                <w:rFonts w:ascii="Times New Roman" w:hAnsi="Times New Roman" w:cs="Times New Roman"/>
                <w:bCs/>
                <w:color w:val="000000"/>
                <w:sz w:val="20"/>
                <w:szCs w:val="20"/>
                <w:shd w:val="clear" w:color="auto" w:fill="FFFFFF"/>
              </w:rPr>
              <w:t xml:space="preserve"> каналі. Призначена для формування </w:t>
            </w:r>
            <w:proofErr w:type="spellStart"/>
            <w:r w:rsidRPr="00531436">
              <w:rPr>
                <w:rFonts w:ascii="Times New Roman" w:hAnsi="Times New Roman" w:cs="Times New Roman"/>
                <w:bCs/>
                <w:color w:val="000000"/>
                <w:sz w:val="20"/>
                <w:szCs w:val="20"/>
                <w:shd w:val="clear" w:color="auto" w:fill="FFFFFF"/>
              </w:rPr>
              <w:t>нососльозного</w:t>
            </w:r>
            <w:proofErr w:type="spellEnd"/>
            <w:r w:rsidRPr="00531436">
              <w:rPr>
                <w:rFonts w:ascii="Times New Roman" w:hAnsi="Times New Roman" w:cs="Times New Roman"/>
                <w:bCs/>
                <w:color w:val="000000"/>
                <w:sz w:val="20"/>
                <w:szCs w:val="20"/>
                <w:shd w:val="clear" w:color="auto" w:fill="FFFFFF"/>
              </w:rPr>
              <w:t xml:space="preserve"> каналу. Застосовується в дитячій офтальмології для процедур, пов'язаних із слізними канальцями та передньою камерою ока.</w:t>
            </w:r>
          </w:p>
        </w:tc>
        <w:tc>
          <w:tcPr>
            <w:tcW w:w="851" w:type="dxa"/>
            <w:noWrap/>
            <w:vAlign w:val="center"/>
          </w:tcPr>
          <w:p w14:paraId="1200F649" w14:textId="20EB1869"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шт</w:t>
            </w:r>
            <w:proofErr w:type="spellEnd"/>
          </w:p>
        </w:tc>
        <w:tc>
          <w:tcPr>
            <w:tcW w:w="1058" w:type="dxa"/>
            <w:vAlign w:val="center"/>
          </w:tcPr>
          <w:p w14:paraId="49F517E0" w14:textId="0F6641A7"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20</w:t>
            </w:r>
          </w:p>
        </w:tc>
      </w:tr>
      <w:tr w:rsidR="00531436" w:rsidRPr="00925A2A" w14:paraId="39D19BC9" w14:textId="77777777" w:rsidTr="00A931F9">
        <w:trPr>
          <w:trHeight w:val="271"/>
          <w:jc w:val="center"/>
        </w:trPr>
        <w:tc>
          <w:tcPr>
            <w:tcW w:w="444" w:type="dxa"/>
            <w:noWrap/>
            <w:tcMar>
              <w:right w:w="0" w:type="dxa"/>
            </w:tcMar>
            <w:vAlign w:val="center"/>
          </w:tcPr>
          <w:p w14:paraId="7B0845F1"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07702AA3" w14:textId="22F1F0B0" w:rsidR="00531436" w:rsidRPr="00DC2BE4" w:rsidRDefault="00531436" w:rsidP="00A931F9">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Ніж V -подібний спис (</w:t>
            </w:r>
            <w:proofErr w:type="spellStart"/>
            <w:r w:rsidRPr="00531436">
              <w:rPr>
                <w:rFonts w:ascii="Times New Roman" w:hAnsi="Times New Roman" w:cs="Times New Roman"/>
                <w:bCs/>
                <w:color w:val="000000"/>
                <w:sz w:val="20"/>
                <w:szCs w:val="20"/>
                <w:shd w:val="clear" w:color="auto" w:fill="FFFFFF"/>
              </w:rPr>
              <w:t>Sideport</w:t>
            </w:r>
            <w:proofErr w:type="spellEnd"/>
            <w:r w:rsidRPr="00531436">
              <w:rPr>
                <w:rFonts w:ascii="Times New Roman" w:hAnsi="Times New Roman" w:cs="Times New Roman"/>
                <w:bCs/>
                <w:color w:val="000000"/>
                <w:sz w:val="20"/>
                <w:szCs w:val="20"/>
                <w:shd w:val="clear" w:color="auto" w:fill="FFFFFF"/>
              </w:rPr>
              <w:t>) 1,2мм</w:t>
            </w:r>
          </w:p>
        </w:tc>
        <w:tc>
          <w:tcPr>
            <w:tcW w:w="5232" w:type="dxa"/>
          </w:tcPr>
          <w:p w14:paraId="75205AE5" w14:textId="2D3CA2DE"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 xml:space="preserve">Ніж безпечний </w:t>
            </w:r>
            <w:proofErr w:type="spellStart"/>
            <w:r w:rsidRPr="00531436">
              <w:rPr>
                <w:rFonts w:ascii="Times New Roman" w:hAnsi="Times New Roman" w:cs="Times New Roman"/>
                <w:bCs/>
                <w:color w:val="000000"/>
                <w:sz w:val="20"/>
                <w:szCs w:val="20"/>
                <w:shd w:val="clear" w:color="auto" w:fill="FFFFFF"/>
              </w:rPr>
              <w:t>Sideport</w:t>
            </w:r>
            <w:proofErr w:type="spellEnd"/>
            <w:r w:rsidRPr="00531436">
              <w:rPr>
                <w:rFonts w:ascii="Times New Roman" w:hAnsi="Times New Roman" w:cs="Times New Roman"/>
                <w:bCs/>
                <w:color w:val="000000"/>
                <w:sz w:val="20"/>
                <w:szCs w:val="20"/>
                <w:shd w:val="clear" w:color="auto" w:fill="FFFFFF"/>
              </w:rPr>
              <w:t xml:space="preserve">, </w:t>
            </w:r>
            <w:proofErr w:type="spellStart"/>
            <w:r w:rsidRPr="00531436">
              <w:rPr>
                <w:rFonts w:ascii="Times New Roman" w:hAnsi="Times New Roman" w:cs="Times New Roman"/>
                <w:bCs/>
                <w:color w:val="000000"/>
                <w:sz w:val="20"/>
                <w:szCs w:val="20"/>
                <w:shd w:val="clear" w:color="auto" w:fill="FFFFFF"/>
              </w:rPr>
              <w:t>одноразовий,стерильний</w:t>
            </w:r>
            <w:proofErr w:type="spellEnd"/>
            <w:r w:rsidRPr="00531436">
              <w:rPr>
                <w:rFonts w:ascii="Times New Roman" w:hAnsi="Times New Roman" w:cs="Times New Roman"/>
                <w:bCs/>
                <w:color w:val="000000"/>
                <w:sz w:val="20"/>
                <w:szCs w:val="20"/>
                <w:shd w:val="clear" w:color="auto" w:fill="FFFFFF"/>
              </w:rPr>
              <w:t xml:space="preserve"> в індивідуальній упаковці 1,2мм (20Ga), зігнутий. Наявність захисного висувного ковпачка для леза</w:t>
            </w:r>
          </w:p>
        </w:tc>
        <w:tc>
          <w:tcPr>
            <w:tcW w:w="851" w:type="dxa"/>
            <w:noWrap/>
            <w:vAlign w:val="center"/>
          </w:tcPr>
          <w:p w14:paraId="754BFF6B" w14:textId="76143E65"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шт</w:t>
            </w:r>
            <w:proofErr w:type="spellEnd"/>
          </w:p>
        </w:tc>
        <w:tc>
          <w:tcPr>
            <w:tcW w:w="1058" w:type="dxa"/>
            <w:vAlign w:val="center"/>
          </w:tcPr>
          <w:p w14:paraId="7F92B25D" w14:textId="60F14A41"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100</w:t>
            </w:r>
          </w:p>
        </w:tc>
      </w:tr>
      <w:tr w:rsidR="00531436" w:rsidRPr="00925A2A" w14:paraId="0B77048B" w14:textId="77777777" w:rsidTr="00A931F9">
        <w:trPr>
          <w:trHeight w:val="271"/>
          <w:jc w:val="center"/>
        </w:trPr>
        <w:tc>
          <w:tcPr>
            <w:tcW w:w="444" w:type="dxa"/>
            <w:noWrap/>
            <w:tcMar>
              <w:right w:w="0" w:type="dxa"/>
            </w:tcMar>
            <w:vAlign w:val="center"/>
          </w:tcPr>
          <w:p w14:paraId="0D31E892"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4EB3D878" w14:textId="36AB510D" w:rsidR="00531436" w:rsidRPr="00DC2BE4" w:rsidRDefault="00531436" w:rsidP="00A931F9">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 xml:space="preserve">Ніж офтальмологічний заточений в гору </w:t>
            </w:r>
            <w:proofErr w:type="spellStart"/>
            <w:r w:rsidRPr="00531436">
              <w:rPr>
                <w:rFonts w:ascii="Times New Roman" w:hAnsi="Times New Roman" w:cs="Times New Roman"/>
                <w:bCs/>
                <w:color w:val="000000"/>
                <w:sz w:val="20"/>
                <w:szCs w:val="20"/>
                <w:shd w:val="clear" w:color="auto" w:fill="FFFFFF"/>
              </w:rPr>
              <w:t>кератом</w:t>
            </w:r>
            <w:proofErr w:type="spellEnd"/>
            <w:r w:rsidRPr="00531436">
              <w:rPr>
                <w:rFonts w:ascii="Times New Roman" w:hAnsi="Times New Roman" w:cs="Times New Roman"/>
                <w:bCs/>
                <w:color w:val="000000"/>
                <w:sz w:val="20"/>
                <w:szCs w:val="20"/>
                <w:shd w:val="clear" w:color="auto" w:fill="FFFFFF"/>
              </w:rPr>
              <w:t xml:space="preserve"> 2,0мм</w:t>
            </w:r>
          </w:p>
        </w:tc>
        <w:tc>
          <w:tcPr>
            <w:tcW w:w="5232" w:type="dxa"/>
          </w:tcPr>
          <w:p w14:paraId="64844C9B" w14:textId="765949CF"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Ніж безпечний, одноразовий, стерильний в індивідуальній упаковці 2,0 мм, серповидний зігнутий. Наявність захисного висувного ковпачка для леза</w:t>
            </w:r>
          </w:p>
        </w:tc>
        <w:tc>
          <w:tcPr>
            <w:tcW w:w="851" w:type="dxa"/>
            <w:noWrap/>
            <w:vAlign w:val="center"/>
          </w:tcPr>
          <w:p w14:paraId="427BCE6B" w14:textId="01AAA91F"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шт</w:t>
            </w:r>
            <w:proofErr w:type="spellEnd"/>
          </w:p>
        </w:tc>
        <w:tc>
          <w:tcPr>
            <w:tcW w:w="1058" w:type="dxa"/>
            <w:vAlign w:val="center"/>
          </w:tcPr>
          <w:p w14:paraId="22AABF3B" w14:textId="23BA8E5C"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100</w:t>
            </w:r>
          </w:p>
        </w:tc>
      </w:tr>
      <w:tr w:rsidR="00531436" w:rsidRPr="00925A2A" w14:paraId="74382482" w14:textId="77777777" w:rsidTr="00A931F9">
        <w:trPr>
          <w:trHeight w:val="271"/>
          <w:jc w:val="center"/>
        </w:trPr>
        <w:tc>
          <w:tcPr>
            <w:tcW w:w="444" w:type="dxa"/>
            <w:noWrap/>
            <w:tcMar>
              <w:right w:w="0" w:type="dxa"/>
            </w:tcMar>
            <w:vAlign w:val="center"/>
          </w:tcPr>
          <w:p w14:paraId="679192D9"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56BB6EAA" w14:textId="655133A4" w:rsidR="00531436" w:rsidRPr="00DC2BE4" w:rsidRDefault="00531436" w:rsidP="00A931F9">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Ніж офтальмологічний 2,2мм</w:t>
            </w:r>
          </w:p>
        </w:tc>
        <w:tc>
          <w:tcPr>
            <w:tcW w:w="5232" w:type="dxa"/>
          </w:tcPr>
          <w:p w14:paraId="6F9155CF" w14:textId="4DF1C488"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Ніж безпечний, одноразовий, стерильний в індивідуальній упаковці 2,2 мм, зігнутий. Наявність захисного висувного ковпачка для леза</w:t>
            </w:r>
          </w:p>
        </w:tc>
        <w:tc>
          <w:tcPr>
            <w:tcW w:w="851" w:type="dxa"/>
            <w:noWrap/>
            <w:vAlign w:val="center"/>
          </w:tcPr>
          <w:p w14:paraId="3595CF2D" w14:textId="0B26CAA1"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шт</w:t>
            </w:r>
            <w:proofErr w:type="spellEnd"/>
          </w:p>
        </w:tc>
        <w:tc>
          <w:tcPr>
            <w:tcW w:w="1058" w:type="dxa"/>
            <w:vAlign w:val="center"/>
          </w:tcPr>
          <w:p w14:paraId="4F39B741" w14:textId="46F424BB"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50</w:t>
            </w:r>
          </w:p>
        </w:tc>
      </w:tr>
      <w:tr w:rsidR="00531436" w:rsidRPr="00925A2A" w14:paraId="05C57E5A" w14:textId="77777777" w:rsidTr="00A931F9">
        <w:trPr>
          <w:trHeight w:val="271"/>
          <w:jc w:val="center"/>
        </w:trPr>
        <w:tc>
          <w:tcPr>
            <w:tcW w:w="444" w:type="dxa"/>
            <w:noWrap/>
            <w:tcMar>
              <w:right w:w="0" w:type="dxa"/>
            </w:tcMar>
            <w:vAlign w:val="center"/>
          </w:tcPr>
          <w:p w14:paraId="7FB8D22A"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70638A4B" w14:textId="1B9D35D7" w:rsidR="00531436" w:rsidRPr="00DC2BE4" w:rsidRDefault="00531436" w:rsidP="00A931F9">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Ніж офтальмологічний 15</w:t>
            </w:r>
            <w:bookmarkStart w:id="1" w:name="_GoBack"/>
            <w:bookmarkEnd w:id="1"/>
          </w:p>
        </w:tc>
        <w:tc>
          <w:tcPr>
            <w:tcW w:w="5232" w:type="dxa"/>
          </w:tcPr>
          <w:p w14:paraId="35BD54F6" w14:textId="50C7FD30"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Ніж безпечний, одноразовий, стерильний в індивідуальній упаковці 15 градусний</w:t>
            </w:r>
          </w:p>
        </w:tc>
        <w:tc>
          <w:tcPr>
            <w:tcW w:w="851" w:type="dxa"/>
            <w:noWrap/>
            <w:vAlign w:val="center"/>
          </w:tcPr>
          <w:p w14:paraId="3B7122A1" w14:textId="6A383717"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шт</w:t>
            </w:r>
            <w:proofErr w:type="spellEnd"/>
          </w:p>
        </w:tc>
        <w:tc>
          <w:tcPr>
            <w:tcW w:w="1058" w:type="dxa"/>
            <w:vAlign w:val="center"/>
          </w:tcPr>
          <w:p w14:paraId="7E4A5C57" w14:textId="1F31F473"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50</w:t>
            </w:r>
          </w:p>
        </w:tc>
      </w:tr>
      <w:tr w:rsidR="00531436" w:rsidRPr="00925A2A" w14:paraId="04A826F6" w14:textId="77777777" w:rsidTr="00A931F9">
        <w:trPr>
          <w:trHeight w:val="271"/>
          <w:jc w:val="center"/>
        </w:trPr>
        <w:tc>
          <w:tcPr>
            <w:tcW w:w="444" w:type="dxa"/>
            <w:noWrap/>
            <w:tcMar>
              <w:right w:w="0" w:type="dxa"/>
            </w:tcMar>
            <w:vAlign w:val="center"/>
          </w:tcPr>
          <w:p w14:paraId="6C084DB7"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159A4D8F" w14:textId="234900CB" w:rsidR="00531436" w:rsidRPr="00DC2BE4" w:rsidRDefault="00531436" w:rsidP="00A931F9">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Збалансований сольовий розчин BSS</w:t>
            </w:r>
          </w:p>
        </w:tc>
        <w:tc>
          <w:tcPr>
            <w:tcW w:w="5232" w:type="dxa"/>
          </w:tcPr>
          <w:p w14:paraId="5B9E25F6" w14:textId="42B023DE"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 xml:space="preserve">Стерильний іригаційний сольовий розчин, який застосовується для іригації тканин ока під час </w:t>
            </w:r>
            <w:proofErr w:type="spellStart"/>
            <w:r w:rsidRPr="00531436">
              <w:rPr>
                <w:rFonts w:ascii="Times New Roman" w:hAnsi="Times New Roman" w:cs="Times New Roman"/>
                <w:bCs/>
                <w:color w:val="000000"/>
                <w:sz w:val="20"/>
                <w:szCs w:val="20"/>
                <w:shd w:val="clear" w:color="auto" w:fill="FFFFFF"/>
              </w:rPr>
              <w:t>інтраокулярних</w:t>
            </w:r>
            <w:proofErr w:type="spellEnd"/>
            <w:r w:rsidRPr="00531436">
              <w:rPr>
                <w:rFonts w:ascii="Times New Roman" w:hAnsi="Times New Roman" w:cs="Times New Roman"/>
                <w:bCs/>
                <w:color w:val="000000"/>
                <w:sz w:val="20"/>
                <w:szCs w:val="20"/>
                <w:shd w:val="clear" w:color="auto" w:fill="FFFFFF"/>
              </w:rPr>
              <w:t xml:space="preserve"> та екстра окулярних хірургічних процедур</w:t>
            </w:r>
          </w:p>
        </w:tc>
        <w:tc>
          <w:tcPr>
            <w:tcW w:w="851" w:type="dxa"/>
            <w:noWrap/>
            <w:vAlign w:val="center"/>
          </w:tcPr>
          <w:p w14:paraId="5D23455A" w14:textId="09A64B76"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фл</w:t>
            </w:r>
            <w:proofErr w:type="spellEnd"/>
          </w:p>
        </w:tc>
        <w:tc>
          <w:tcPr>
            <w:tcW w:w="1058" w:type="dxa"/>
            <w:vAlign w:val="center"/>
          </w:tcPr>
          <w:p w14:paraId="2D28789F" w14:textId="5A7BA370"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200</w:t>
            </w:r>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lastRenderedPageBreak/>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2FC295C3"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Термін придатності товарів на момент поставки повинен складати не менше </w:t>
      </w:r>
      <w:r w:rsidR="00B22D01">
        <w:rPr>
          <w:rFonts w:ascii="Times New Roman" w:hAnsi="Times New Roman"/>
          <w:lang w:eastAsia="uk-UA"/>
        </w:rPr>
        <w:t>8</w:t>
      </w:r>
      <w:r w:rsidRPr="00925A2A">
        <w:rPr>
          <w:rFonts w:ascii="Times New Roman" w:hAnsi="Times New Roman"/>
          <w:lang w:eastAsia="uk-UA"/>
        </w:rPr>
        <w:t xml:space="preserve">0%  від загального терміну придатності з дня завезення їх на склад Замовника.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570D399B" w14:textId="3667AA44" w:rsidR="00A64262" w:rsidRDefault="00B22D01" w:rsidP="00A64262">
      <w:pPr>
        <w:pStyle w:val="a7"/>
        <w:ind w:left="-709" w:firstLine="567"/>
        <w:jc w:val="both"/>
        <w:rPr>
          <w:rFonts w:ascii="Times New Roman" w:hAnsi="Times New Roman"/>
          <w:lang w:eastAsia="uk-UA"/>
        </w:rPr>
      </w:pPr>
      <w:r>
        <w:rPr>
          <w:rFonts w:ascii="Times New Roman" w:hAnsi="Times New Roman"/>
          <w:lang w:eastAsia="uk-UA"/>
        </w:rPr>
        <w:t>6</w:t>
      </w:r>
      <w:r w:rsidR="00A64262"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41FBC9D8" w14:textId="115141AC" w:rsidR="009B4A1C" w:rsidRPr="00925A2A" w:rsidRDefault="009B4A1C" w:rsidP="00A64262">
      <w:pPr>
        <w:pStyle w:val="a7"/>
        <w:ind w:left="-709" w:firstLine="567"/>
        <w:jc w:val="both"/>
        <w:rPr>
          <w:rFonts w:ascii="Times New Roman" w:hAnsi="Times New Roman"/>
          <w:lang w:eastAsia="uk-UA"/>
        </w:rPr>
      </w:pPr>
      <w:r>
        <w:rPr>
          <w:rFonts w:ascii="Times New Roman" w:hAnsi="Times New Roman"/>
          <w:lang w:eastAsia="uk-UA"/>
        </w:rPr>
        <w:t>7</w:t>
      </w:r>
      <w:r w:rsidRPr="009B4A1C">
        <w:rPr>
          <w:rFonts w:ascii="Times New Roman" w:hAnsi="Times New Roman"/>
          <w:lang w:eastAsia="uk-UA"/>
        </w:rPr>
        <w:t>. 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0D93D035" w14:textId="016B7AB0" w:rsidR="00BB6193" w:rsidRDefault="00BB6193" w:rsidP="00BB6193">
      <w:pPr>
        <w:spacing w:after="0"/>
        <w:jc w:val="both"/>
        <w:rPr>
          <w:rFonts w:ascii="Times New Roman" w:hAnsi="Times New Roman" w:cs="Times New Roman"/>
        </w:rPr>
      </w:pPr>
    </w:p>
    <w:p w14:paraId="134E5814" w14:textId="77777777" w:rsidR="004171C9" w:rsidRPr="00925A2A" w:rsidRDefault="004171C9" w:rsidP="00BB6193">
      <w:pPr>
        <w:spacing w:after="0"/>
        <w:jc w:val="both"/>
        <w:rPr>
          <w:rFonts w:ascii="Times New Roman" w:hAnsi="Times New Roman" w:cs="Times New Roman"/>
        </w:rPr>
      </w:pPr>
    </w:p>
    <w:p w14:paraId="7AA73A0C" w14:textId="47676635" w:rsidR="00BB6193" w:rsidRPr="003F1DE0" w:rsidRDefault="00BB6193" w:rsidP="00F54EFD">
      <w:pPr>
        <w:spacing w:after="0"/>
        <w:ind w:firstLine="720"/>
        <w:jc w:val="both"/>
        <w:rPr>
          <w:rFonts w:ascii="Times New Roman" w:hAnsi="Times New Roman" w:cs="Times New Roman"/>
          <w:b/>
        </w:rPr>
      </w:pPr>
      <w:r w:rsidRPr="006572BE">
        <w:rPr>
          <w:rFonts w:ascii="Times New Roman" w:hAnsi="Times New Roman" w:cs="Times New Roman"/>
          <w:b/>
        </w:rPr>
        <w:t xml:space="preserve">Очікувана вартість </w:t>
      </w:r>
      <w:r w:rsidR="00531436" w:rsidRPr="00531436">
        <w:rPr>
          <w:rFonts w:ascii="Times New Roman" w:hAnsi="Times New Roman" w:cs="Times New Roman"/>
          <w:b/>
          <w:lang w:val="en-US"/>
        </w:rPr>
        <w:t xml:space="preserve">675 675,00 </w:t>
      </w:r>
      <w:proofErr w:type="spellStart"/>
      <w:r w:rsidR="00531436" w:rsidRPr="00531436">
        <w:rPr>
          <w:rFonts w:ascii="Times New Roman" w:hAnsi="Times New Roman" w:cs="Times New Roman"/>
          <w:b/>
          <w:lang w:val="en-US"/>
        </w:rPr>
        <w:t>грн</w:t>
      </w:r>
      <w:proofErr w:type="spellEnd"/>
      <w:r w:rsidR="00531436" w:rsidRPr="00531436">
        <w:rPr>
          <w:rFonts w:ascii="Times New Roman" w:hAnsi="Times New Roman" w:cs="Times New Roman"/>
          <w:b/>
          <w:lang w:val="en-US"/>
        </w:rPr>
        <w:t xml:space="preserve"> (</w:t>
      </w:r>
      <w:proofErr w:type="spellStart"/>
      <w:r w:rsidR="00531436" w:rsidRPr="00531436">
        <w:rPr>
          <w:rFonts w:ascii="Times New Roman" w:hAnsi="Times New Roman" w:cs="Times New Roman"/>
          <w:b/>
          <w:lang w:val="en-US"/>
        </w:rPr>
        <w:t>Шістсот</w:t>
      </w:r>
      <w:proofErr w:type="spellEnd"/>
      <w:r w:rsidR="00531436" w:rsidRPr="00531436">
        <w:rPr>
          <w:rFonts w:ascii="Times New Roman" w:hAnsi="Times New Roman" w:cs="Times New Roman"/>
          <w:b/>
          <w:lang w:val="en-US"/>
        </w:rPr>
        <w:t xml:space="preserve"> </w:t>
      </w:r>
      <w:proofErr w:type="spellStart"/>
      <w:r w:rsidR="00531436" w:rsidRPr="00531436">
        <w:rPr>
          <w:rFonts w:ascii="Times New Roman" w:hAnsi="Times New Roman" w:cs="Times New Roman"/>
          <w:b/>
          <w:lang w:val="en-US"/>
        </w:rPr>
        <w:t>сімдесят</w:t>
      </w:r>
      <w:proofErr w:type="spellEnd"/>
      <w:r w:rsidR="00531436" w:rsidRPr="00531436">
        <w:rPr>
          <w:rFonts w:ascii="Times New Roman" w:hAnsi="Times New Roman" w:cs="Times New Roman"/>
          <w:b/>
          <w:lang w:val="en-US"/>
        </w:rPr>
        <w:t xml:space="preserve"> </w:t>
      </w:r>
      <w:proofErr w:type="spellStart"/>
      <w:r w:rsidR="00531436" w:rsidRPr="00531436">
        <w:rPr>
          <w:rFonts w:ascii="Times New Roman" w:hAnsi="Times New Roman" w:cs="Times New Roman"/>
          <w:b/>
          <w:lang w:val="en-US"/>
        </w:rPr>
        <w:t>п'ять</w:t>
      </w:r>
      <w:proofErr w:type="spellEnd"/>
      <w:r w:rsidR="00531436" w:rsidRPr="00531436">
        <w:rPr>
          <w:rFonts w:ascii="Times New Roman" w:hAnsi="Times New Roman" w:cs="Times New Roman"/>
          <w:b/>
          <w:lang w:val="en-US"/>
        </w:rPr>
        <w:t xml:space="preserve"> </w:t>
      </w:r>
      <w:proofErr w:type="spellStart"/>
      <w:r w:rsidR="00531436" w:rsidRPr="00531436">
        <w:rPr>
          <w:rFonts w:ascii="Times New Roman" w:hAnsi="Times New Roman" w:cs="Times New Roman"/>
          <w:b/>
          <w:lang w:val="en-US"/>
        </w:rPr>
        <w:t>тисяч</w:t>
      </w:r>
      <w:proofErr w:type="spellEnd"/>
      <w:r w:rsidR="00531436" w:rsidRPr="00531436">
        <w:rPr>
          <w:rFonts w:ascii="Times New Roman" w:hAnsi="Times New Roman" w:cs="Times New Roman"/>
          <w:b/>
          <w:lang w:val="en-US"/>
        </w:rPr>
        <w:t xml:space="preserve"> </w:t>
      </w:r>
      <w:proofErr w:type="spellStart"/>
      <w:r w:rsidR="00531436" w:rsidRPr="00531436">
        <w:rPr>
          <w:rFonts w:ascii="Times New Roman" w:hAnsi="Times New Roman" w:cs="Times New Roman"/>
          <w:b/>
          <w:lang w:val="en-US"/>
        </w:rPr>
        <w:t>шістсот</w:t>
      </w:r>
      <w:proofErr w:type="spellEnd"/>
      <w:r w:rsidR="00531436" w:rsidRPr="00531436">
        <w:rPr>
          <w:rFonts w:ascii="Times New Roman" w:hAnsi="Times New Roman" w:cs="Times New Roman"/>
          <w:b/>
          <w:lang w:val="en-US"/>
        </w:rPr>
        <w:t xml:space="preserve"> </w:t>
      </w:r>
      <w:proofErr w:type="spellStart"/>
      <w:r w:rsidR="00531436" w:rsidRPr="00531436">
        <w:rPr>
          <w:rFonts w:ascii="Times New Roman" w:hAnsi="Times New Roman" w:cs="Times New Roman"/>
          <w:b/>
          <w:lang w:val="en-US"/>
        </w:rPr>
        <w:t>сімдесят</w:t>
      </w:r>
      <w:proofErr w:type="spellEnd"/>
      <w:r w:rsidR="00531436" w:rsidRPr="00531436">
        <w:rPr>
          <w:rFonts w:ascii="Times New Roman" w:hAnsi="Times New Roman" w:cs="Times New Roman"/>
          <w:b/>
          <w:lang w:val="en-US"/>
        </w:rPr>
        <w:t xml:space="preserve"> </w:t>
      </w:r>
      <w:proofErr w:type="spellStart"/>
      <w:r w:rsidR="00531436" w:rsidRPr="00531436">
        <w:rPr>
          <w:rFonts w:ascii="Times New Roman" w:hAnsi="Times New Roman" w:cs="Times New Roman"/>
          <w:b/>
          <w:lang w:val="en-US"/>
        </w:rPr>
        <w:t>п'ять</w:t>
      </w:r>
      <w:proofErr w:type="spellEnd"/>
      <w:r w:rsidR="00531436" w:rsidRPr="00531436">
        <w:rPr>
          <w:rFonts w:ascii="Times New Roman" w:hAnsi="Times New Roman" w:cs="Times New Roman"/>
          <w:b/>
          <w:lang w:val="en-US"/>
        </w:rPr>
        <w:t xml:space="preserve"> </w:t>
      </w:r>
      <w:proofErr w:type="spellStart"/>
      <w:r w:rsidR="00531436" w:rsidRPr="00531436">
        <w:rPr>
          <w:rFonts w:ascii="Times New Roman" w:hAnsi="Times New Roman" w:cs="Times New Roman"/>
          <w:b/>
          <w:lang w:val="en-US"/>
        </w:rPr>
        <w:t>гривень</w:t>
      </w:r>
      <w:proofErr w:type="spellEnd"/>
      <w:r w:rsidR="00531436" w:rsidRPr="00531436">
        <w:rPr>
          <w:rFonts w:ascii="Times New Roman" w:hAnsi="Times New Roman" w:cs="Times New Roman"/>
          <w:b/>
          <w:lang w:val="en-US"/>
        </w:rPr>
        <w:t xml:space="preserve"> 00 </w:t>
      </w:r>
      <w:proofErr w:type="spellStart"/>
      <w:r w:rsidR="00531436" w:rsidRPr="00531436">
        <w:rPr>
          <w:rFonts w:ascii="Times New Roman" w:hAnsi="Times New Roman" w:cs="Times New Roman"/>
          <w:b/>
          <w:lang w:val="en-US"/>
        </w:rPr>
        <w:t>копійок</w:t>
      </w:r>
      <w:proofErr w:type="spellEnd"/>
      <w:r w:rsidR="00531436" w:rsidRPr="00531436">
        <w:rPr>
          <w:rFonts w:ascii="Times New Roman" w:hAnsi="Times New Roman" w:cs="Times New Roman"/>
          <w:b/>
          <w:lang w:val="en-US"/>
        </w:rPr>
        <w:t>) з ПДВ</w:t>
      </w:r>
      <w:r w:rsidR="003F1DE0">
        <w:rPr>
          <w:rFonts w:ascii="Times New Roman" w:hAnsi="Times New Roman" w:cs="Times New Roman"/>
          <w:b/>
        </w:rPr>
        <w:t>.</w:t>
      </w:r>
    </w:p>
    <w:p w14:paraId="11E26747" w14:textId="02E84977" w:rsidR="00D40230" w:rsidRPr="00925A2A" w:rsidRDefault="00D40230" w:rsidP="00BB6193">
      <w:pPr>
        <w:spacing w:after="0"/>
        <w:ind w:firstLine="720"/>
        <w:jc w:val="both"/>
        <w:rPr>
          <w:rFonts w:ascii="Times New Roman" w:hAnsi="Times New Roman" w:cs="Times New Roman"/>
          <w:b/>
        </w:rPr>
      </w:pP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5209D"/>
    <w:rsid w:val="00163FEE"/>
    <w:rsid w:val="001D47B7"/>
    <w:rsid w:val="001E74A8"/>
    <w:rsid w:val="00205C2A"/>
    <w:rsid w:val="002E0027"/>
    <w:rsid w:val="002E30FA"/>
    <w:rsid w:val="002F1116"/>
    <w:rsid w:val="00324F1F"/>
    <w:rsid w:val="00326BEB"/>
    <w:rsid w:val="00336181"/>
    <w:rsid w:val="003570CF"/>
    <w:rsid w:val="00381C1B"/>
    <w:rsid w:val="00382EB4"/>
    <w:rsid w:val="00396EF9"/>
    <w:rsid w:val="003A7F8B"/>
    <w:rsid w:val="003F1DE0"/>
    <w:rsid w:val="004010B3"/>
    <w:rsid w:val="00401BC4"/>
    <w:rsid w:val="004171C9"/>
    <w:rsid w:val="00460A8A"/>
    <w:rsid w:val="0048001D"/>
    <w:rsid w:val="004928A9"/>
    <w:rsid w:val="004C0EF1"/>
    <w:rsid w:val="004E72FA"/>
    <w:rsid w:val="004F089C"/>
    <w:rsid w:val="00531436"/>
    <w:rsid w:val="00573EA8"/>
    <w:rsid w:val="005766EA"/>
    <w:rsid w:val="00577C6D"/>
    <w:rsid w:val="005A2B13"/>
    <w:rsid w:val="00616944"/>
    <w:rsid w:val="006572BE"/>
    <w:rsid w:val="006664FB"/>
    <w:rsid w:val="00675805"/>
    <w:rsid w:val="006B2132"/>
    <w:rsid w:val="006B26D2"/>
    <w:rsid w:val="006C5C3E"/>
    <w:rsid w:val="006D684B"/>
    <w:rsid w:val="007203A1"/>
    <w:rsid w:val="0074678C"/>
    <w:rsid w:val="007544D5"/>
    <w:rsid w:val="00761A58"/>
    <w:rsid w:val="00764FC6"/>
    <w:rsid w:val="007A79FC"/>
    <w:rsid w:val="007A7EF8"/>
    <w:rsid w:val="00837A29"/>
    <w:rsid w:val="008462EC"/>
    <w:rsid w:val="00854833"/>
    <w:rsid w:val="008653A7"/>
    <w:rsid w:val="008915A6"/>
    <w:rsid w:val="008B59F9"/>
    <w:rsid w:val="008D22D2"/>
    <w:rsid w:val="00915423"/>
    <w:rsid w:val="00925A2A"/>
    <w:rsid w:val="009336EE"/>
    <w:rsid w:val="00941036"/>
    <w:rsid w:val="00944A75"/>
    <w:rsid w:val="00983CF1"/>
    <w:rsid w:val="009B4A1C"/>
    <w:rsid w:val="009C525E"/>
    <w:rsid w:val="009E19D1"/>
    <w:rsid w:val="00A1688C"/>
    <w:rsid w:val="00A64262"/>
    <w:rsid w:val="00A84C45"/>
    <w:rsid w:val="00A931F9"/>
    <w:rsid w:val="00B22D01"/>
    <w:rsid w:val="00B25F46"/>
    <w:rsid w:val="00B808DF"/>
    <w:rsid w:val="00B8155B"/>
    <w:rsid w:val="00BA374E"/>
    <w:rsid w:val="00BB6193"/>
    <w:rsid w:val="00C065D4"/>
    <w:rsid w:val="00C353B4"/>
    <w:rsid w:val="00D2427B"/>
    <w:rsid w:val="00D3787F"/>
    <w:rsid w:val="00D40230"/>
    <w:rsid w:val="00D4785A"/>
    <w:rsid w:val="00D9534F"/>
    <w:rsid w:val="00DA0813"/>
    <w:rsid w:val="00DB37D5"/>
    <w:rsid w:val="00DC2BE4"/>
    <w:rsid w:val="00DD3CED"/>
    <w:rsid w:val="00E115C2"/>
    <w:rsid w:val="00E509F5"/>
    <w:rsid w:val="00EA6A9B"/>
    <w:rsid w:val="00EE20EC"/>
    <w:rsid w:val="00F34208"/>
    <w:rsid w:val="00F45A0D"/>
    <w:rsid w:val="00F463D9"/>
    <w:rsid w:val="00F54EFD"/>
    <w:rsid w:val="00F550C5"/>
    <w:rsid w:val="00F743C6"/>
    <w:rsid w:val="00F825DA"/>
    <w:rsid w:val="00F93316"/>
    <w:rsid w:val="00F977FD"/>
    <w:rsid w:val="00FA1422"/>
    <w:rsid w:val="00FB2FE0"/>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09979144">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00731984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3875</Words>
  <Characters>2209</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74</cp:revision>
  <cp:lastPrinted>2025-01-29T09:18:00Z</cp:lastPrinted>
  <dcterms:created xsi:type="dcterms:W3CDTF">2025-01-29T09:21:00Z</dcterms:created>
  <dcterms:modified xsi:type="dcterms:W3CDTF">2026-02-16T10:31:00Z</dcterms:modified>
</cp:coreProperties>
</file>